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5A8" w:rsidRDefault="006E45A8" w:rsidP="006E45A8">
      <w:pPr>
        <w:pStyle w:val="HELPTitles1"/>
        <w:rPr>
          <w:rFonts w:ascii="Sylfaen" w:hAnsi="Sylfaen"/>
        </w:rPr>
      </w:pPr>
      <w:bookmarkStart w:id="0" w:name="_GoBack"/>
      <w:bookmarkEnd w:id="0"/>
      <w:r>
        <w:rPr>
          <w:rFonts w:ascii="Sylfaen" w:hAnsi="Sylfaen"/>
        </w:rPr>
        <w:t xml:space="preserve">ՄԻԵԿ հասկացությունները եվ սկզբունքները </w:t>
      </w:r>
    </w:p>
    <w:p w:rsidR="006E45A8" w:rsidRPr="000D096A" w:rsidRDefault="006E45A8" w:rsidP="006E45A8">
      <w:pPr>
        <w:pStyle w:val="HELPTitles1"/>
        <w:rPr>
          <w:rFonts w:ascii="Sylfaen" w:hAnsi="Sylfaen"/>
        </w:rPr>
      </w:pPr>
      <w:r>
        <w:rPr>
          <w:rFonts w:ascii="Sylfaen" w:hAnsi="Sylfaen"/>
        </w:rPr>
        <w:t xml:space="preserve">ԻՐԱՎՈՒՆՔԵՐԻ ՍՏՈՐԱԿԱՐԳՈՒԹՅՈՒՆը </w:t>
      </w:r>
    </w:p>
    <w:p w:rsidR="006E45A8" w:rsidRPr="006E6C61" w:rsidRDefault="006E45A8" w:rsidP="006E45A8">
      <w:pPr>
        <w:pStyle w:val="HELPTitles3"/>
        <w:spacing w:before="0"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Բացարձակ իրավունքներ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Այս կատեգորիայում ըն</w:t>
      </w:r>
      <w:r>
        <w:rPr>
          <w:rFonts w:ascii="Sylfaen" w:hAnsi="Sylfaen"/>
        </w:rPr>
        <w:t>դ</w:t>
      </w:r>
      <w:r w:rsidRPr="006E6C61">
        <w:rPr>
          <w:rFonts w:ascii="Sylfaen" w:hAnsi="Sylfaen"/>
        </w:rPr>
        <w:t>գրկված իրավունքները ցանկացած հանգամանքներում չեն կարող որևէ կերպ ոտնահարվել, նույնիսկ պատերազմական իրավիճակներում:  Այստեղ ներառվում են 2-րդ, 3-րդ հոդվածները, 4-րդ հոդվածի 1-ին մասը և 7 հոդվածը: Կոնվենցիայի 15-րդ հոդվածը սահմանում է, թե ինչպես որոշ իրավունքների առումով կարող են վերապահումներ լինել արտակարգ իրավիճակներում, սակայն միաժամանակ հստակեցնում է, որ որոշ իրավունքներ ա</w:t>
      </w:r>
      <w:r>
        <w:rPr>
          <w:rFonts w:ascii="Sylfaen" w:hAnsi="Sylfaen"/>
        </w:rPr>
        <w:t>մեն դեպքում չեն կարող խախտվել: Թ</w:t>
      </w:r>
      <w:r w:rsidRPr="006E6C61">
        <w:rPr>
          <w:rFonts w:ascii="Sylfaen" w:hAnsi="Sylfaen"/>
        </w:rPr>
        <w:t xml:space="preserve">իվ 13 Արձանագրությունը վավերացրած պետություններում մահապատիժը վերացվել է ընդհանրապես թե´ խաղաղ, թե´ պատերազմական  պայմաններում: </w:t>
      </w:r>
    </w:p>
    <w:p w:rsidR="006E45A8" w:rsidRPr="006E6C61" w:rsidRDefault="006E45A8" w:rsidP="006E45A8">
      <w:pPr>
        <w:pStyle w:val="HELPTitles3"/>
        <w:spacing w:before="0"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Սահմանափակ իրավունքներ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Այս իրավունքները կարող են սահմանփակվել, սակայն միայն թույլատրելի հատուկ իրավիճակներում (օրինակ` 5-րդ և 6-րդ հոդվածներ):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Կարևոր է հասկանալ, թե ինչպես են մեկնաբանվում և կիրառվում Կոնվենցիայով ամրագրված իրավունքները, սակայն առավել կարևոր է հասկանալ, թե ինչպես իրավունքները կարող են սահմանափակվել, ինչպես նաև ընկալել անհրաժեշտության և համաչափության սկզբունքները: Ամփոփելով, պարզելու համար, թե սահմանափակ </w:t>
      </w:r>
      <w:r w:rsidRPr="006E6C61">
        <w:rPr>
          <w:rFonts w:ascii="Sylfaen" w:hAnsi="Sylfaen"/>
        </w:rPr>
        <w:lastRenderedPageBreak/>
        <w:t xml:space="preserve">իրավունքի նկատմամբ միջամտությունը համարվում է խախտում, թե ոչ, անհրաժեշտ է ուղղել հետևյալ հարցերը`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1. Արդյո</w:t>
      </w:r>
      <w:r>
        <w:rPr>
          <w:rFonts w:ascii="Sylfaen" w:hAnsi="Sylfaen" w:cs="Sylfaen"/>
        </w:rPr>
        <w:t>՞</w:t>
      </w:r>
      <w:r w:rsidRPr="006E6C61">
        <w:rPr>
          <w:rFonts w:ascii="Sylfaen" w:hAnsi="Sylfaen"/>
        </w:rPr>
        <w:t xml:space="preserve">ք միջամտությունը նախատեսված էր օրենքով: Եթե այո, ապա …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2. Արդյո</w:t>
      </w:r>
      <w:r>
        <w:rPr>
          <w:rFonts w:ascii="Sylfaen" w:hAnsi="Sylfaen" w:cs="Sylfaen"/>
        </w:rPr>
        <w:t>՞</w:t>
      </w:r>
      <w:r w:rsidRPr="006E6C61">
        <w:rPr>
          <w:rFonts w:ascii="Sylfaen" w:hAnsi="Sylfaen"/>
        </w:rPr>
        <w:t xml:space="preserve">ք միջամտությունը հետապնդում էր իրավունքով սահմանված նպատակներից մեկը: Եթե այո, ապա …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3. Արդյո</w:t>
      </w:r>
      <w:r>
        <w:rPr>
          <w:rFonts w:ascii="Sylfaen" w:hAnsi="Sylfaen" w:cs="Sylfaen"/>
        </w:rPr>
        <w:t>՞</w:t>
      </w:r>
      <w:r w:rsidRPr="006E6C61">
        <w:rPr>
          <w:rFonts w:ascii="Sylfaen" w:hAnsi="Sylfaen"/>
        </w:rPr>
        <w:t xml:space="preserve">ք </w:t>
      </w:r>
      <w:r>
        <w:rPr>
          <w:rFonts w:ascii="Sylfaen" w:hAnsi="Sylfaen"/>
        </w:rPr>
        <w:t>միջամտությունն</w:t>
      </w:r>
      <w:r w:rsidRPr="006E6C61">
        <w:rPr>
          <w:rFonts w:ascii="Sylfaen" w:hAnsi="Sylfaen"/>
        </w:rPr>
        <w:t xml:space="preserve"> անհրաժեշտ էր ժողովրդավարական հասարակությունում և համաչափ էր: Եթե այո, ապա …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4. Արդյո</w:t>
      </w:r>
      <w:r>
        <w:rPr>
          <w:rFonts w:ascii="Sylfaen" w:hAnsi="Sylfaen" w:cs="Sylfaen"/>
        </w:rPr>
        <w:t>՞</w:t>
      </w:r>
      <w:r w:rsidRPr="006E6C61">
        <w:rPr>
          <w:rFonts w:ascii="Sylfaen" w:hAnsi="Sylfaen"/>
        </w:rPr>
        <w:t xml:space="preserve">ք միջամտությունը   խտրական էր: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Եթե առաջին 3 հարցերի պատասխանը ոչ է, կամ չորրորդ հարցի պատասխանը` այո, ապա միջամտությունն անօրինական է և խախտում է Կոնվենցիայի դրույթները: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Սահմանափակ իրավունքների վերաբերյալ Դատարանի որոշումները կարդալիս կտեսնեք, որ Դատարանը հերթով բարձրացնում է այս հարցերը պարզելու համար, թե միջամտությունը կարող է համարվել խախտում, թե ոչ: </w:t>
      </w:r>
    </w:p>
    <w:p w:rsidR="006E45A8" w:rsidRPr="006E6C61" w:rsidRDefault="006E45A8" w:rsidP="006E45A8">
      <w:pPr>
        <w:pStyle w:val="HELPTitles3"/>
        <w:spacing w:before="0"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Ըստ էության որոշակի պայմաններով իրավունքներ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Այս կատ</w:t>
      </w:r>
      <w:r>
        <w:rPr>
          <w:rFonts w:ascii="Sylfaen" w:hAnsi="Sylfaen"/>
        </w:rPr>
        <w:t>երգորիայի իրավունքները, օրինակ`</w:t>
      </w:r>
      <w:r w:rsidRPr="006E6C61">
        <w:rPr>
          <w:rFonts w:ascii="Sylfaen" w:hAnsi="Sylfaen"/>
        </w:rPr>
        <w:t xml:space="preserve"> 8-րդ, 9-րդ, 10-րդ և 11</w:t>
      </w:r>
      <w:r>
        <w:rPr>
          <w:rFonts w:ascii="Sylfaen" w:hAnsi="Sylfaen"/>
        </w:rPr>
        <w:t>-րդ հոդվածները</w:t>
      </w:r>
      <w:r w:rsidRPr="006E6C61">
        <w:rPr>
          <w:rFonts w:ascii="Sylfaen" w:hAnsi="Sylfaen"/>
        </w:rPr>
        <w:t xml:space="preserve"> սահմանափակ են այն առումով, որ առաջին պարբերությունում սահմանում են իրավունքները, մինչդեռ երկրորդ պարբերությունում նախատեսում են այն պայմանները, որոնք տվյալ իրավունքի հետ միջամտության արդյունքում չեն հանգեցնում Կոնվենցիայի խախտում: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Դատարանը կազմել է մի շարք հարցադրումներ, որոնք պետք է ներկայացվե</w:t>
      </w:r>
      <w:r>
        <w:rPr>
          <w:rFonts w:ascii="Sylfaen" w:hAnsi="Sylfaen"/>
        </w:rPr>
        <w:t>ն</w:t>
      </w:r>
      <w:r w:rsidRPr="006E6C61">
        <w:rPr>
          <w:rFonts w:ascii="Sylfaen" w:hAnsi="Sylfaen"/>
        </w:rPr>
        <w:t xml:space="preserve"> հաստատելու համար, թե արդյոք տեղի է ունեցել ըստ էության որոշակի պայմաններով իրավունքի խախտում: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1. Արդյո</w:t>
      </w:r>
      <w:r>
        <w:rPr>
          <w:rFonts w:ascii="Sylfaen" w:hAnsi="Sylfaen" w:cs="Sylfaen"/>
        </w:rPr>
        <w:t>՞</w:t>
      </w:r>
      <w:r>
        <w:rPr>
          <w:rFonts w:ascii="Sylfaen" w:hAnsi="Sylfaen"/>
        </w:rPr>
        <w:t>ք</w:t>
      </w:r>
      <w:r w:rsidRPr="006E6C61">
        <w:rPr>
          <w:rFonts w:ascii="Sylfaen" w:hAnsi="Sylfaen"/>
        </w:rPr>
        <w:t xml:space="preserve"> փաստերը վկայում են պաշտպանված իրավունքի մասին և որն է այդ իրավունքի բնույթը: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2. Կա</w:t>
      </w:r>
      <w:r>
        <w:rPr>
          <w:rFonts w:ascii="Sylfaen" w:hAnsi="Sylfaen" w:cs="Sylfaen"/>
        </w:rPr>
        <w:t>՞</w:t>
      </w:r>
      <w:r w:rsidRPr="006E6C61">
        <w:rPr>
          <w:rFonts w:ascii="Sylfaen" w:hAnsi="Sylfaen"/>
        </w:rPr>
        <w:t xml:space="preserve"> (</w:t>
      </w:r>
      <w:proofErr w:type="gramStart"/>
      <w:r w:rsidRPr="006E6C61">
        <w:rPr>
          <w:rFonts w:ascii="Sylfaen" w:hAnsi="Sylfaen"/>
        </w:rPr>
        <w:t>կամ</w:t>
      </w:r>
      <w:proofErr w:type="gramEnd"/>
      <w:r w:rsidRPr="006E6C61">
        <w:rPr>
          <w:rFonts w:ascii="Sylfaen" w:hAnsi="Sylfaen"/>
        </w:rPr>
        <w:t xml:space="preserve"> կարող է լինել) միջամտություն այդ իրավունքի   նկատմամբ: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lastRenderedPageBreak/>
        <w:t>5. Արդյո</w:t>
      </w:r>
      <w:r>
        <w:rPr>
          <w:rFonts w:ascii="Sylfaen" w:hAnsi="Sylfaen" w:cs="Sylfaen"/>
        </w:rPr>
        <w:t>՞</w:t>
      </w:r>
      <w:r w:rsidRPr="006E6C61">
        <w:rPr>
          <w:rFonts w:ascii="Sylfaen" w:hAnsi="Sylfaen"/>
        </w:rPr>
        <w:t>ք միջամտությունը</w:t>
      </w:r>
      <w:r>
        <w:rPr>
          <w:rFonts w:ascii="Sylfaen" w:hAnsi="Sylfaen"/>
        </w:rPr>
        <w:t xml:space="preserve"> </w:t>
      </w:r>
      <w:r w:rsidRPr="006E6C61">
        <w:rPr>
          <w:rFonts w:ascii="Sylfaen" w:hAnsi="Sylfaen"/>
        </w:rPr>
        <w:t xml:space="preserve">համաչափ է իրավաչափ նպատակի հետ: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  <w:i/>
          <w:iCs/>
        </w:rPr>
        <w:t xml:space="preserve">Աղբյուր` ՄԻԵԿ-ի վերաբերյալ ուսումնական ձեռնարկ, Նուալա Մոլե և ուրիշները, </w:t>
      </w:r>
      <w:r w:rsidRPr="006E6C61">
        <w:rPr>
          <w:rFonts w:ascii="ArTarumianTimes" w:hAnsi="ArTarumianTimes"/>
          <w:i/>
          <w:iCs/>
        </w:rPr>
        <w:t>[</w:t>
      </w:r>
      <w:r w:rsidRPr="006E6C61">
        <w:rPr>
          <w:rFonts w:ascii="Sylfaen" w:hAnsi="Sylfaen"/>
          <w:i/>
          <w:iCs/>
        </w:rPr>
        <w:t>Training Manual ECHR, Nuala Mole and others,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  <w:i/>
          <w:iCs/>
        </w:rPr>
        <w:t xml:space="preserve"> 2007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Նպատակային մեկնաբանություն- Կոնվենցիան, որպես կենդանի գործիք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Կոնվենցիայով պաշտպանվող իրավունքները և ազատությունները հասկանալու մեկնարկային կետը Կոնվենցիայի տեքստն է:  Ամրագրված իրավունքների բովանդակությունը և իմաստը մշակվել են ժամանակի ընթացքում Մարդու իրավունքների եվրոպական դատարանի կողմից (և նախկինում Եվրոպական հանձնաժողովի կողմից), ուստի հասկանալու համար, թե ինչ շրջանակներում և ինչ կերպ պետք է պաշտպանվեն այդ իրավունքները, անհրաժեշտ է հիմվել նախադեպային իրավունքի վրա: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Կոնվենցիան դիտարկվում է որպես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կենդանի գործիք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, </w:t>
      </w:r>
      <w:r w:rsidRPr="006E6C61">
        <w:rPr>
          <w:rFonts w:ascii="Sylfaen" w:hAnsi="Sylfaen"/>
        </w:rPr>
        <w:t xml:space="preserve">ուստի պետք է տրվի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դինամիկ մեկանաբանություն</w:t>
      </w:r>
      <w:r>
        <w:rPr>
          <w:rFonts w:ascii="ArTarumianTimes" w:hAnsi="ArTarumianTimes"/>
        </w:rPr>
        <w:t>»</w:t>
      </w:r>
      <w:r w:rsidRPr="006E6C61">
        <w:rPr>
          <w:rFonts w:ascii="Sylfaen" w:hAnsi="Sylfaen"/>
        </w:rPr>
        <w:t>: Կոնվենցիայում օգտագործվող եզրույթներից շատերը պարունակում են արժեքային դատողություններ և բարոյական չափանիշներ, որոնք անպայման զարգանում են և փոփոխվում ժամանակի ընթացքում:  Նշանակում է, որ ժամանակի հետ իրավունքների բովանդակությունը կարող է փոփոխվել, ուստի Կոնվենցիայով երաշխավորված իրավունքը քննելիս Դատարանը հաշվի կառնի մասնակից երկրներում զարգացումների ընթացքը և վերաբերմունքի</w:t>
      </w:r>
      <w:r>
        <w:rPr>
          <w:rFonts w:ascii="Sylfaen" w:hAnsi="Sylfaen"/>
        </w:rPr>
        <w:t xml:space="preserve"> փոփոխությունները</w:t>
      </w:r>
      <w:r w:rsidRPr="006E6C61">
        <w:rPr>
          <w:rFonts w:ascii="Sylfaen" w:hAnsi="Sylfaen"/>
        </w:rPr>
        <w:t xml:space="preserve">:  </w:t>
      </w:r>
      <w:hyperlink r:id="rId5" w:history="1">
        <w:r w:rsidRPr="006E6C61">
          <w:rPr>
            <w:rStyle w:val="Hyperlink"/>
            <w:rFonts w:ascii="Sylfaen" w:hAnsi="Sylfaen"/>
          </w:rPr>
          <w:t xml:space="preserve"> Տայերն ընդդեմ Մեծ Բրիտանիայի</w:t>
        </w:r>
        <w:r w:rsidRPr="006E6C61">
          <w:t xml:space="preserve"> </w:t>
        </w:r>
        <w:r w:rsidRPr="006E6C61">
          <w:rPr>
            <w:rFonts w:ascii="ArTarumianTimes" w:hAnsi="ArTarumianTimes"/>
          </w:rPr>
          <w:t>[</w:t>
        </w:r>
        <w:r w:rsidRPr="006E6C61">
          <w:rPr>
            <w:rStyle w:val="Hyperlink"/>
            <w:rFonts w:ascii="Sylfaen" w:hAnsi="Sylfaen"/>
          </w:rPr>
          <w:t>T yrer v. United Kingdom</w:t>
        </w:r>
      </w:hyperlink>
      <w:r w:rsidRPr="006E6C61">
        <w:rPr>
          <w:rFonts w:ascii="Sylfaen" w:hAnsi="Sylfaen"/>
        </w:rPr>
        <w:t xml:space="preserve"> (1978) 2 E.H.R.R.</w:t>
      </w:r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</w:rPr>
        <w:t xml:space="preserve"> գործում Դատարանը նշել է.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…որ կոնվենցիան կենդանի գործիք է, որը … պետք է մեկնաբանել ներկա պայմաններն հաշվի առնելով</w:t>
      </w:r>
      <w:r>
        <w:rPr>
          <w:rFonts w:ascii="ArTarumianTimes" w:hAnsi="ArTarumianTimes"/>
        </w:rPr>
        <w:t>»</w:t>
      </w:r>
      <w:r w:rsidRPr="006E6C61">
        <w:rPr>
          <w:rFonts w:ascii="Sylfaen" w:hAnsi="Sylfaen"/>
        </w:rPr>
        <w:t xml:space="preserve">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Այս գործը վերաբերում էր մարմնական պատիժ նախատեսող դատական վճռին:  Այլ օրինակներ ներառում են փոփոխվող վերաբերմունքի դեպքեր նույնասեռականների (օր.` Դադջոնն ընդեեմ Մեծ Բրիտանիայի </w:t>
      </w:r>
      <w:r w:rsidRPr="006E6C61">
        <w:rPr>
          <w:rFonts w:ascii="ArTarumianTimes" w:hAnsi="ArTarumianTimes"/>
        </w:rPr>
        <w:t>[</w:t>
      </w:r>
      <w:hyperlink r:id="rId6" w:history="1">
        <w:r w:rsidRPr="006E6C61">
          <w:rPr>
            <w:rStyle w:val="Hyperlink"/>
            <w:rFonts w:ascii="Sylfaen" w:hAnsi="Sylfaen"/>
          </w:rPr>
          <w:t>Dudgeon v. United Kingdom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</w:rPr>
        <w:t xml:space="preserve"> 1981) ամուսնությունից դուրս ծնված երեխաների (օր.` Ջոնսթոնն ընդդեմ Իռլանդիայի </w:t>
      </w:r>
      <w:r w:rsidRPr="006E6C61">
        <w:rPr>
          <w:rFonts w:ascii="ArTarumianTimes" w:hAnsi="ArTarumianTimes"/>
        </w:rPr>
        <w:t>[</w:t>
      </w:r>
      <w:hyperlink r:id="rId7" w:history="1">
        <w:r w:rsidRPr="006E6C61">
          <w:rPr>
            <w:rStyle w:val="Hyperlink"/>
            <w:rFonts w:ascii="Sylfaen" w:hAnsi="Sylfaen"/>
          </w:rPr>
          <w:t>Johnston v. Ireland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</w:rPr>
        <w:t xml:space="preserve">, 1986), փոխսեռականների (օր.` Գուդվինն ընդդեմ Մեծ Բրիտանիայի </w:t>
      </w:r>
      <w:r w:rsidRPr="006E6C61">
        <w:rPr>
          <w:rFonts w:ascii="ArTarumianTimes" w:hAnsi="ArTarumianTimes"/>
        </w:rPr>
        <w:t>[</w:t>
      </w:r>
      <w:r w:rsidRPr="006E6C61">
        <w:rPr>
          <w:rFonts w:ascii="Sylfaen" w:hAnsi="Sylfaen"/>
        </w:rPr>
        <w:t xml:space="preserve">Goodwin v. United </w:t>
      </w:r>
      <w:r w:rsidRPr="006E6C61">
        <w:rPr>
          <w:rFonts w:ascii="Sylfaen" w:hAnsi="Sylfaen"/>
        </w:rPr>
        <w:lastRenderedPageBreak/>
        <w:t>Kingdom</w:t>
      </w:r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</w:rPr>
        <w:t xml:space="preserve">, 2002) և սեռերի միջև իրավահավասարության նկատմամբ  (օր.`Շուլեր- Ցգրագենն ընդդեմ Շվեցարիայի </w:t>
      </w:r>
      <w:r w:rsidRPr="006E6C61">
        <w:rPr>
          <w:rFonts w:ascii="ArTarumianTimes" w:hAnsi="ArTarumianTimes"/>
        </w:rPr>
        <w:t>[</w:t>
      </w:r>
      <w:hyperlink r:id="rId8" w:history="1">
        <w:r w:rsidRPr="006E6C61">
          <w:rPr>
            <w:rStyle w:val="Hyperlink"/>
            <w:rFonts w:ascii="Sylfaen" w:hAnsi="Sylfaen"/>
          </w:rPr>
          <w:t>Schuler-Zgraggen v. Switzerland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</w:rPr>
        <w:t>, 1993):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>
        <w:rPr>
          <w:rFonts w:ascii="Sylfaen" w:hAnsi="Sylfaen"/>
        </w:rPr>
        <w:t>Դատարանը կարող է և բեկանե</w:t>
      </w:r>
      <w:r w:rsidRPr="006E6C61">
        <w:rPr>
          <w:rFonts w:ascii="Sylfaen" w:hAnsi="Sylfaen"/>
        </w:rPr>
        <w:t>լ նախադեպը Կոնվենցիայի</w:t>
      </w:r>
      <w:r>
        <w:rPr>
          <w:rFonts w:ascii="Sylfaen" w:hAnsi="Sylfaen"/>
        </w:rPr>
        <w:t>ն</w:t>
      </w:r>
      <w:r w:rsidRPr="006E6C61">
        <w:rPr>
          <w:rFonts w:ascii="Sylfaen" w:hAnsi="Sylfaen"/>
        </w:rPr>
        <w:t xml:space="preserve"> դինամիկ մեկնաբանություն տալու համար: Ուստի, անհրաժեշտ է համոզվել, որ հղումը կատարվել է տվյալ Հոդվածի վերաբերյալ ամենավերջին գործին, քանի որ հին գործերն անպայման չէ, որ տրամադրեն իրավունքին տրվող ճիշտ մեկնաբանությունը և չի կիրառ</w:t>
      </w:r>
      <w:r>
        <w:rPr>
          <w:rFonts w:ascii="Sylfaen" w:hAnsi="Sylfaen"/>
        </w:rPr>
        <w:t>վ</w:t>
      </w:r>
      <w:r w:rsidRPr="006E6C61">
        <w:rPr>
          <w:rFonts w:ascii="Sylfaen" w:hAnsi="Sylfaen"/>
        </w:rPr>
        <w:t xml:space="preserve">ում նախադեպի խիստ հայեցակարգ: 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>
        <w:rPr>
          <w:rFonts w:ascii="ArTarumianTimes" w:hAnsi="ArTarumianTimes"/>
          <w:sz w:val="24"/>
        </w:rPr>
        <w:t>«</w:t>
      </w:r>
      <w:r w:rsidRPr="006E6C61">
        <w:rPr>
          <w:rFonts w:ascii="Sylfaen" w:hAnsi="Sylfaen"/>
          <w:sz w:val="24"/>
        </w:rPr>
        <w:t>Օրենքի համաձայն / Օրենքով նախատեսված</w:t>
      </w:r>
      <w:r>
        <w:rPr>
          <w:rFonts w:ascii="ArTarumianTimes" w:hAnsi="ArTarumianTimes"/>
          <w:sz w:val="24"/>
        </w:rPr>
        <w:t>»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Համաձայն Կոնվենցիայի օրինականության հասկացությունը վերաբերվում է ներպետական օրենքների բոլոր տիպերին` վարչական, </w:t>
      </w:r>
      <w:r>
        <w:rPr>
          <w:rFonts w:ascii="Sylfaen" w:hAnsi="Sylfaen"/>
        </w:rPr>
        <w:t>օրենսդրական</w:t>
      </w:r>
      <w:r w:rsidRPr="006E6C61">
        <w:rPr>
          <w:rFonts w:ascii="Sylfaen" w:hAnsi="Sylfaen"/>
        </w:rPr>
        <w:t>, սահմանադրական, գրավոր և բանավոր (</w:t>
      </w:r>
      <w:r w:rsidRPr="006E6C61">
        <w:rPr>
          <w:rFonts w:ascii="Sylfaen" w:hAnsi="Sylfaen"/>
          <w:i/>
        </w:rPr>
        <w:t>Գոլդերն ընդդեմ Մեծ Բրիտանիայի</w:t>
      </w:r>
      <w:r w:rsidRPr="006E6C61">
        <w:rPr>
          <w:rFonts w:ascii="Sylfaen" w:hAnsi="Sylfaen"/>
        </w:rPr>
        <w:t xml:space="preserve"> </w:t>
      </w:r>
      <w:r w:rsidRPr="006E6C61">
        <w:rPr>
          <w:rFonts w:ascii="ArTarumianTimes" w:hAnsi="ArTarumianTimes"/>
        </w:rPr>
        <w:t>[</w:t>
      </w:r>
      <w:hyperlink r:id="rId9" w:history="1">
        <w:r w:rsidRPr="006E6C61">
          <w:rPr>
            <w:rStyle w:val="Hyperlink"/>
            <w:rFonts w:ascii="Sylfaen" w:hAnsi="Sylfaen"/>
            <w:i/>
            <w:iCs/>
          </w:rPr>
          <w:t>Golder v. the United Kingdom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(1975), </w:t>
      </w:r>
      <w:r w:rsidRPr="006E6C61">
        <w:rPr>
          <w:rFonts w:ascii="Sylfaen" w:hAnsi="Sylfaen"/>
          <w:i/>
        </w:rPr>
        <w:t xml:space="preserve"> Սիլվերն ընդդեմ Մեծ Բրիտանիայի </w:t>
      </w:r>
      <w:r w:rsidRPr="006E6C61">
        <w:rPr>
          <w:rFonts w:ascii="ArTarumianTimes" w:hAnsi="ArTarumianTimes"/>
          <w:i/>
        </w:rPr>
        <w:t>[</w:t>
      </w:r>
      <w:hyperlink r:id="rId10" w:anchor="{&quot;fulltext&quot;:[&quot;Silver and Others v. the United Kingdom&quot;],&quot;documentcollectionid2&quot;:[&quot;GRANDCHAMBER&quot;,&quot;CHAMBER&quot;],&quot;itemid&quot;:[&quot;001-57577&quot;]}" w:history="1">
        <w:r w:rsidRPr="006E6C61">
          <w:rPr>
            <w:rStyle w:val="Hyperlink"/>
            <w:rFonts w:ascii="Sylfaen" w:hAnsi="Sylfaen"/>
            <w:i/>
            <w:iCs/>
          </w:rPr>
          <w:t>Silver and Others v. the United Kingdom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(1983) և Սանդեյ թայմսն ընդդեմ Մեծ Բրիտանիայի </w:t>
      </w:r>
      <w:r w:rsidRPr="006E6C61">
        <w:rPr>
          <w:rFonts w:ascii="ArTarumianTimes" w:hAnsi="ArTarumianTimes"/>
        </w:rPr>
        <w:t>[</w:t>
      </w:r>
      <w:hyperlink r:id="rId11" w:history="1">
        <w:r w:rsidRPr="006E6C61">
          <w:rPr>
            <w:rStyle w:val="Hyperlink"/>
            <w:rFonts w:ascii="Sylfaen" w:hAnsi="Sylfaen"/>
            <w:i/>
            <w:iCs/>
          </w:rPr>
          <w:t>Sunday Times v. the United Kingdom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(1979)): Դատարանը սահմանել է օրինականության երկու հիմնական պահանջ, ինչպես նշված է </w:t>
      </w:r>
      <w:r>
        <w:rPr>
          <w:rFonts w:ascii="Sylfaen" w:hAnsi="Sylfaen"/>
          <w:i/>
        </w:rPr>
        <w:t>Սանդե</w:t>
      </w:r>
      <w:r w:rsidRPr="006E6C61">
        <w:rPr>
          <w:rFonts w:ascii="Sylfaen" w:hAnsi="Sylfaen"/>
          <w:i/>
        </w:rPr>
        <w:t>յ թայմս</w:t>
      </w:r>
      <w:r w:rsidRPr="006E6C61">
        <w:rPr>
          <w:rFonts w:ascii="Sylfaen" w:hAnsi="Sylfaen"/>
        </w:rPr>
        <w:t xml:space="preserve"> գործում, այն է`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  <w:i/>
          <w:iCs/>
        </w:rPr>
      </w:pPr>
      <w:r w:rsidRPr="006E6C61">
        <w:rPr>
          <w:rFonts w:ascii="Sylfaen" w:hAnsi="Sylfaen"/>
          <w:i/>
          <w:iCs/>
        </w:rPr>
        <w:t xml:space="preserve">Նախևառաջ, օրենքը պետք է պատշաճ կերպով հասանելի լինի: Քաղաքացին պետք է կարողանա պատկերացում ունենալ, թե տվյալ գործում իրավական նորմերի առումով ինչն է համարժեք: Այնուհետև, իրավական նորմը չի կարող համարվել </w:t>
      </w:r>
      <w:r>
        <w:rPr>
          <w:rFonts w:ascii="ArTarumianTimes" w:hAnsi="ArTarumianTimes"/>
          <w:i/>
          <w:iCs/>
        </w:rPr>
        <w:t>«</w:t>
      </w:r>
      <w:r w:rsidRPr="006E6C61">
        <w:rPr>
          <w:rFonts w:ascii="Sylfaen" w:hAnsi="Sylfaen"/>
          <w:i/>
          <w:iCs/>
        </w:rPr>
        <w:t>օրենք</w:t>
      </w:r>
      <w:r>
        <w:rPr>
          <w:rFonts w:ascii="ArTarumianTimes" w:hAnsi="ArTarumianTimes"/>
          <w:i/>
          <w:iCs/>
        </w:rPr>
        <w:t>»</w:t>
      </w:r>
      <w:r w:rsidRPr="006E6C61">
        <w:rPr>
          <w:rFonts w:ascii="ArTarumianTimes" w:hAnsi="ArTarumianTimes"/>
          <w:i/>
          <w:iCs/>
        </w:rPr>
        <w:t xml:space="preserve">, </w:t>
      </w:r>
      <w:r w:rsidRPr="006E6C61">
        <w:rPr>
          <w:rFonts w:ascii="Sylfaen" w:hAnsi="Sylfaen"/>
          <w:i/>
          <w:iCs/>
        </w:rPr>
        <w:t>եթե այն բավարար հստակությամբ չի ձևակերպված, ինչը թույլ կտար քաղաքացուն կարգավորել իր վարքագիծը…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Հետևաբար, որպեսզի պետության որոշակի գործողություն կամ վերջինիս ուժի մեջ դնելը ըստ Կոնվենցիայի համարվի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օրենքի համաձայն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, </w:t>
      </w:r>
      <w:r w:rsidRPr="006E6C61">
        <w:rPr>
          <w:rFonts w:ascii="Sylfaen" w:hAnsi="Sylfaen"/>
        </w:rPr>
        <w:t>այն պետք է միաժամանա</w:t>
      </w:r>
      <w:r>
        <w:rPr>
          <w:rFonts w:ascii="Sylfaen" w:hAnsi="Sylfaen"/>
        </w:rPr>
        <w:t>կ</w:t>
      </w:r>
      <w:r w:rsidRPr="006E6C61">
        <w:rPr>
          <w:rFonts w:ascii="Sylfaen" w:hAnsi="Sylfaen"/>
        </w:rPr>
        <w:t xml:space="preserve"> լինի</w:t>
      </w:r>
      <w:r w:rsidRPr="006E6C61">
        <w:rPr>
          <w:rFonts w:ascii="Sylfaen" w:hAnsi="Sylfaen"/>
          <w:i/>
        </w:rPr>
        <w:t xml:space="preserve"> հասանելի</w:t>
      </w:r>
      <w:r w:rsidRPr="006E6C61">
        <w:rPr>
          <w:rFonts w:ascii="Sylfaen" w:hAnsi="Sylfaen"/>
        </w:rPr>
        <w:t xml:space="preserve"> և </w:t>
      </w:r>
      <w:r w:rsidRPr="006E6C61">
        <w:rPr>
          <w:rFonts w:ascii="Sylfaen" w:hAnsi="Sylfaen"/>
          <w:i/>
        </w:rPr>
        <w:t>կանխատեսելի</w:t>
      </w:r>
      <w:r w:rsidRPr="006E6C61">
        <w:rPr>
          <w:rFonts w:ascii="Sylfaen" w:hAnsi="Sylfaen"/>
        </w:rPr>
        <w:t xml:space="preserve">: Հետագայում օրինականություն հասկացությունը Դատարանը զարգացրել է </w:t>
      </w:r>
      <w:r w:rsidRPr="006E6C61">
        <w:rPr>
          <w:rFonts w:ascii="Sylfaen" w:hAnsi="Sylfaen"/>
          <w:i/>
        </w:rPr>
        <w:t xml:space="preserve">Մալոնն ընդդեմ Մեծ Բրիտանիայի </w:t>
      </w:r>
      <w:r w:rsidRPr="006E6C61">
        <w:rPr>
          <w:rFonts w:ascii="Sylfaen" w:hAnsi="Sylfaen"/>
        </w:rPr>
        <w:t xml:space="preserve">գործում </w:t>
      </w:r>
      <w:r w:rsidRPr="006E6C61">
        <w:rPr>
          <w:rFonts w:ascii="ArTarumianTimes" w:hAnsi="ArTarumianTimes"/>
        </w:rPr>
        <w:t>[</w:t>
      </w:r>
      <w:hyperlink r:id="rId12" w:history="1">
        <w:r w:rsidRPr="006E6C61">
          <w:rPr>
            <w:rStyle w:val="Hyperlink"/>
            <w:rFonts w:ascii="Sylfaen" w:hAnsi="Sylfaen"/>
            <w:i/>
            <w:iCs/>
          </w:rPr>
          <w:t>Malone v. the United Kingdom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(1984)` կապելով այն պետության կողմից իշխանության չարաշահման արգելման հետ.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  <w:i/>
          <w:iCs/>
        </w:rPr>
      </w:pPr>
      <w:r w:rsidRPr="006E6C61">
        <w:rPr>
          <w:rFonts w:ascii="Sylfaen" w:hAnsi="Sylfaen"/>
          <w:i/>
          <w:iCs/>
        </w:rPr>
        <w:lastRenderedPageBreak/>
        <w:t>Գործադիրին շնորհվա</w:t>
      </w:r>
      <w:r>
        <w:rPr>
          <w:rFonts w:ascii="Sylfaen" w:hAnsi="Sylfaen"/>
          <w:i/>
          <w:iCs/>
        </w:rPr>
        <w:t>ծ հայեցողությունը</w:t>
      </w:r>
      <w:r w:rsidRPr="006E6C61">
        <w:rPr>
          <w:rFonts w:ascii="Sylfaen" w:hAnsi="Sylfaen"/>
          <w:i/>
          <w:iCs/>
        </w:rPr>
        <w:t xml:space="preserve"> որպես անսահմանափակ իշխանություն ընկակելը հակասում է օրենքի գերակայությանը: Հետևաբար, օրենքը պետք է նշի իրավասու մարմիններին շնորհված հայեցողության շրջանակները, ինչպես նաև բավարար հստակությամբ այդ հայեցողության իրականացման ձևերը`հաշվի առնելով տվյալ միջոցառման իրավաչափ նպատակները, ինչպես նաև   պետք է նախատեսի </w:t>
      </w:r>
      <w:r>
        <w:rPr>
          <w:rFonts w:ascii="Sylfaen" w:hAnsi="Sylfaen"/>
          <w:i/>
          <w:iCs/>
        </w:rPr>
        <w:t xml:space="preserve">կամայական միջամտություններից </w:t>
      </w:r>
      <w:r w:rsidRPr="006E6C61">
        <w:rPr>
          <w:rFonts w:ascii="Sylfaen" w:hAnsi="Sylfaen"/>
          <w:i/>
          <w:iCs/>
        </w:rPr>
        <w:t>անհատական պատշաճ պաշտպանություն</w:t>
      </w:r>
      <w:r>
        <w:rPr>
          <w:rFonts w:ascii="Sylfaen" w:hAnsi="Sylfaen"/>
          <w:i/>
          <w:iCs/>
        </w:rPr>
        <w:t>:</w:t>
      </w:r>
      <w:r w:rsidRPr="006E6C61">
        <w:rPr>
          <w:rFonts w:ascii="Sylfaen" w:hAnsi="Sylfaen"/>
          <w:i/>
          <w:iCs/>
        </w:rPr>
        <w:t xml:space="preserve">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Այսպիսով, ըստ Կոնվենցիայի օրինականության բաղկացուցիչ երրորդ տարրը դա ուղեցույցերի և մեխանիզմների առկայությունն է, որոնք վերահսկում են պետության կողմից հայեցողության իրականացումը կառավարական մարմինների կամայական գործողություններից, այդ թվում նաև` իշխանությա</w:t>
      </w:r>
      <w:r>
        <w:rPr>
          <w:rFonts w:ascii="Sylfaen" w:hAnsi="Sylfaen"/>
        </w:rPr>
        <w:t>ն հնարավոր չարաշահումներից</w:t>
      </w:r>
      <w:r w:rsidRPr="006E6C61">
        <w:rPr>
          <w:rFonts w:ascii="Sylfaen" w:hAnsi="Sylfaen"/>
        </w:rPr>
        <w:t xml:space="preserve"> անհատներին </w:t>
      </w:r>
      <w:proofErr w:type="gramStart"/>
      <w:r w:rsidRPr="006E6C61">
        <w:rPr>
          <w:rFonts w:ascii="Sylfaen" w:hAnsi="Sylfaen"/>
        </w:rPr>
        <w:t>պաշտպանելու  նպատակով</w:t>
      </w:r>
      <w:proofErr w:type="gramEnd"/>
      <w:r w:rsidRPr="006E6C61">
        <w:rPr>
          <w:rFonts w:ascii="Sylfaen" w:hAnsi="Sylfaen"/>
        </w:rPr>
        <w:t xml:space="preserve">: 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>
        <w:rPr>
          <w:rFonts w:ascii="ArTarumianTimes" w:hAnsi="ArTarumianTimes"/>
          <w:sz w:val="24"/>
        </w:rPr>
        <w:t>«</w:t>
      </w:r>
      <w:r w:rsidRPr="006E6C61">
        <w:rPr>
          <w:rFonts w:ascii="Sylfaen" w:hAnsi="Sylfaen"/>
          <w:sz w:val="24"/>
        </w:rPr>
        <w:t xml:space="preserve">ժողովրդավարական հասարակությունում անհրաժեշտ </w:t>
      </w:r>
      <w:r>
        <w:rPr>
          <w:rFonts w:ascii="ArTarumianTimes" w:hAnsi="ArTarumianTimes"/>
          <w:sz w:val="24"/>
        </w:rPr>
        <w:t>»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Կոնվենցիայով նախատեսված իրավունքների և ազատությունների իրական</w:t>
      </w:r>
      <w:r>
        <w:rPr>
          <w:rFonts w:ascii="Sylfaen" w:hAnsi="Sylfaen"/>
        </w:rPr>
        <w:t>ա</w:t>
      </w:r>
      <w:r w:rsidRPr="006E6C61">
        <w:rPr>
          <w:rFonts w:ascii="Sylfaen" w:hAnsi="Sylfaen"/>
        </w:rPr>
        <w:t>ցման սահմանափակման առումով պետության հայեցողության իրականացումն ուսումնասիր</w:t>
      </w:r>
      <w:r>
        <w:rPr>
          <w:rFonts w:ascii="Sylfaen" w:hAnsi="Sylfaen"/>
        </w:rPr>
        <w:t>ել</w:t>
      </w:r>
      <w:r w:rsidRPr="006E6C61">
        <w:rPr>
          <w:rFonts w:ascii="Sylfaen" w:hAnsi="Sylfaen"/>
        </w:rPr>
        <w:t xml:space="preserve">իս Դատարանը նախ դիտարկում է տվյալ գործողության օրինականությունը` համաձայն վերը նշված չափանիշների: Եթե Պետության գործողությունները համապատասխանում են օրինականության չափանիշներին,  Կոնվենցիայի մարմինները հաշվի են առնում, թե արդյոք տվյալ գործողությունը կարող է համարվել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ժողովրդավարական հասարակությունում անհրաժեշտ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: </w:t>
      </w:r>
      <w:r w:rsidRPr="006E6C61">
        <w:rPr>
          <w:rFonts w:ascii="Sylfaen" w:hAnsi="Sylfaen"/>
        </w:rPr>
        <w:t xml:space="preserve">Հենց այս չափորոշչի հետ պետության համապատասխանության ուսումնասիրության ժամանակ  առաջ է մղվում անհատական և հասարակական շահերի միջև բախումը: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Դատարանն ընդունում է, որ այն ոչ իրավասու է, ոչ էլ կարիք ունի փորձել գործնական կամ քաղաքական վերահսկողություն իրականացնել Պետության գործողությունների վրա իրենց իսկ ներպետական ոլորտների շրջանակներում: </w:t>
      </w:r>
      <w:r>
        <w:rPr>
          <w:rFonts w:ascii="Sylfaen" w:hAnsi="Sylfaen"/>
          <w:i/>
        </w:rPr>
        <w:t>Հենդիսայդ</w:t>
      </w:r>
      <w:r w:rsidRPr="006E6C61">
        <w:rPr>
          <w:rFonts w:ascii="Sylfaen" w:hAnsi="Sylfaen"/>
          <w:i/>
        </w:rPr>
        <w:t xml:space="preserve">ն ընդդեմ Մեծ Բրիտանիայի </w:t>
      </w:r>
      <w:proofErr w:type="gramStart"/>
      <w:r w:rsidRPr="006E6C61">
        <w:rPr>
          <w:rFonts w:ascii="ArTarumianTimes" w:hAnsi="ArTarumianTimes"/>
          <w:i/>
        </w:rPr>
        <w:t>[</w:t>
      </w:r>
      <w:r w:rsidRPr="006E6C61">
        <w:rPr>
          <w:rFonts w:ascii="Sylfaen" w:hAnsi="Sylfaen"/>
        </w:rPr>
        <w:t xml:space="preserve"> </w:t>
      </w:r>
      <w:proofErr w:type="gramEnd"/>
      <w:r>
        <w:fldChar w:fldCharType="begin"/>
      </w:r>
      <w:r>
        <w:instrText xml:space="preserve"> HYPERLINK "http://hudoc.echr.coe.int/sites/eng/pages/search.aspx?i=001-57499" </w:instrText>
      </w:r>
      <w:r>
        <w:fldChar w:fldCharType="separate"/>
      </w:r>
      <w:r w:rsidRPr="006E6C61">
        <w:rPr>
          <w:rStyle w:val="Hyperlink"/>
          <w:rFonts w:ascii="Sylfaen" w:hAnsi="Sylfaen"/>
          <w:i/>
          <w:iCs/>
        </w:rPr>
        <w:t>Handyside v. the United Kingdom</w:t>
      </w:r>
      <w:r>
        <w:rPr>
          <w:rStyle w:val="Hyperlink"/>
          <w:rFonts w:ascii="Sylfaen" w:hAnsi="Sylfaen"/>
          <w:i/>
          <w:iCs/>
        </w:rPr>
        <w:fldChar w:fldCharType="end"/>
      </w:r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(1976)  գործում նշվում է.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  <w:i/>
          <w:iCs/>
        </w:rPr>
      </w:pPr>
      <w:r>
        <w:rPr>
          <w:rFonts w:ascii="ArTarumianTimes" w:hAnsi="ArTarumianTimes"/>
          <w:i/>
          <w:iCs/>
        </w:rPr>
        <w:t>«</w:t>
      </w:r>
      <w:r w:rsidRPr="006E6C61">
        <w:rPr>
          <w:rFonts w:ascii="Sylfaen" w:hAnsi="Sylfaen"/>
          <w:i/>
          <w:iCs/>
        </w:rPr>
        <w:t>Իրենց երկրների կենսական ուժերի հետ իրենց ուղիղ և շարունակական շփման շնորհիվ` պետական իշխանությունները սկզբունքորեն ավելի լավ դիր</w:t>
      </w:r>
      <w:r>
        <w:rPr>
          <w:rFonts w:ascii="Sylfaen" w:hAnsi="Sylfaen"/>
          <w:i/>
          <w:iCs/>
        </w:rPr>
        <w:t xml:space="preserve">քում են, քան </w:t>
      </w:r>
      <w:r>
        <w:rPr>
          <w:rFonts w:ascii="Sylfaen" w:hAnsi="Sylfaen"/>
          <w:i/>
          <w:iCs/>
        </w:rPr>
        <w:lastRenderedPageBreak/>
        <w:t>միջազգային դատավորն</w:t>
      </w:r>
      <w:r w:rsidRPr="006E6C61">
        <w:rPr>
          <w:rFonts w:ascii="Sylfaen" w:hAnsi="Sylfaen"/>
          <w:i/>
          <w:iCs/>
        </w:rPr>
        <w:t xml:space="preserve"> այս պահանջների ճշգրիտ բովանդակության …. </w:t>
      </w:r>
      <w:r>
        <w:rPr>
          <w:rFonts w:ascii="Sylfaen" w:hAnsi="Sylfaen"/>
          <w:i/>
          <w:iCs/>
        </w:rPr>
        <w:t>ի</w:t>
      </w:r>
      <w:r w:rsidRPr="006E6C61">
        <w:rPr>
          <w:rFonts w:ascii="Sylfaen" w:hAnsi="Sylfaen"/>
          <w:i/>
          <w:iCs/>
        </w:rPr>
        <w:t>նչպես</w:t>
      </w:r>
      <w:r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  <w:i/>
          <w:iCs/>
        </w:rPr>
        <w:t xml:space="preserve">նաև  այդ պահանջները բավարարելու </w:t>
      </w:r>
      <w:r>
        <w:rPr>
          <w:rFonts w:ascii="ArTarumianTimes" w:hAnsi="ArTarumianTimes"/>
          <w:i/>
          <w:iCs/>
        </w:rPr>
        <w:t>«</w:t>
      </w:r>
      <w:r w:rsidRPr="006E6C61">
        <w:rPr>
          <w:rFonts w:ascii="Sylfaen" w:hAnsi="Sylfaen"/>
          <w:i/>
          <w:iCs/>
        </w:rPr>
        <w:t>անհրաժեշտության</w:t>
      </w:r>
      <w:r>
        <w:rPr>
          <w:rFonts w:ascii="ArTarumianTimes" w:hAnsi="ArTarumianTimes"/>
          <w:i/>
          <w:iCs/>
        </w:rPr>
        <w:t>»</w:t>
      </w:r>
      <w:r w:rsidRPr="006E6C61">
        <w:rPr>
          <w:rFonts w:ascii="ArTarumianTimes" w:hAnsi="ArTarumianTimes"/>
          <w:i/>
          <w:iCs/>
        </w:rPr>
        <w:t xml:space="preserve">, </w:t>
      </w:r>
      <w:r>
        <w:rPr>
          <w:rFonts w:ascii="ArTarumianTimes" w:hAnsi="ArTarumianTimes"/>
          <w:i/>
          <w:iCs/>
        </w:rPr>
        <w:t>«</w:t>
      </w:r>
      <w:r w:rsidRPr="006E6C61">
        <w:rPr>
          <w:rFonts w:ascii="Sylfaen" w:hAnsi="Sylfaen"/>
          <w:i/>
          <w:iCs/>
        </w:rPr>
        <w:t>սահմանափակման</w:t>
      </w:r>
      <w:r>
        <w:rPr>
          <w:rFonts w:ascii="ArTarumianTimes" w:hAnsi="ArTarumianTimes"/>
          <w:i/>
          <w:iCs/>
        </w:rPr>
        <w:t>»</w:t>
      </w:r>
      <w:r w:rsidRPr="006E6C61">
        <w:rPr>
          <w:rFonts w:ascii="ArTarumianTimes" w:hAnsi="ArTarumianTimes"/>
          <w:i/>
          <w:iCs/>
        </w:rPr>
        <w:t xml:space="preserve"> </w:t>
      </w:r>
      <w:r w:rsidRPr="006E6C61">
        <w:rPr>
          <w:rFonts w:ascii="Sylfaen" w:hAnsi="Sylfaen"/>
          <w:i/>
          <w:iCs/>
        </w:rPr>
        <w:t xml:space="preserve">կամ </w:t>
      </w:r>
      <w:r>
        <w:rPr>
          <w:rFonts w:ascii="ArTarumianTimes" w:hAnsi="ArTarumianTimes"/>
          <w:i/>
          <w:iCs/>
        </w:rPr>
        <w:t>«</w:t>
      </w:r>
      <w:r w:rsidRPr="006E6C61">
        <w:rPr>
          <w:rFonts w:ascii="Sylfaen" w:hAnsi="Sylfaen"/>
          <w:i/>
          <w:iCs/>
        </w:rPr>
        <w:t xml:space="preserve">պատիժների </w:t>
      </w:r>
      <w:r>
        <w:rPr>
          <w:rFonts w:ascii="ArTarumianTimes" w:hAnsi="ArTarumianTimes"/>
          <w:i/>
          <w:iCs/>
        </w:rPr>
        <w:t>«</w:t>
      </w:r>
      <w:r w:rsidRPr="006E6C61">
        <w:rPr>
          <w:rFonts w:ascii="Sylfaen" w:hAnsi="Sylfaen"/>
          <w:i/>
          <w:iCs/>
        </w:rPr>
        <w:t xml:space="preserve"> վերաբերյալ տեսակետ հայտնելու առումով: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Այս մոտեցումից երևում է, որ Դատարանը պետություններին ընձեռում է հայեցողության որոշակի աստիճան այդ գործողությունների և Կոնվենցիայի պահանջների համատեղելիությունը սահմանելու համար:  Այս հայեցողությունը սովորաբար անվանվում է Պետության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հայեցողության սահման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Չնայած Կոնվենցայի բարձր պայմանավորվող կողմերին հայեցողության շնորհմանը` Դատարանն իրեն է վերապահում Պետության հայեցողության իրականացման ուսումնասիրության իրավասությունը ոչ միայն համապատասխան հոդվածների երկրորդ կետերի, այլ նաև Կոնվենցիայի այլ հոդվածների առումով (տե´ս ստորև 17-րդ և 18-րդ հոդվածների վերաբերյալ քննարկումը); </w:t>
      </w:r>
      <w:r>
        <w:rPr>
          <w:rFonts w:ascii="Sylfaen" w:hAnsi="Sylfaen"/>
          <w:i/>
        </w:rPr>
        <w:t>Հենդիսայդ</w:t>
      </w:r>
      <w:r w:rsidRPr="006E6C61">
        <w:rPr>
          <w:rFonts w:ascii="Sylfaen" w:hAnsi="Sylfaen"/>
          <w:i/>
        </w:rPr>
        <w:t xml:space="preserve"> </w:t>
      </w:r>
      <w:r w:rsidRPr="006E6C61">
        <w:rPr>
          <w:rFonts w:ascii="Sylfaen" w:hAnsi="Sylfaen"/>
        </w:rPr>
        <w:t xml:space="preserve">գործում Դատարանը նշել է, որ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հայեցողության ներպետական սահմանները զուգահեռ են Եվրոպական վերահսկողությանը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, </w:t>
      </w:r>
      <w:r>
        <w:rPr>
          <w:rFonts w:ascii="Sylfaen" w:hAnsi="Sylfaen"/>
        </w:rPr>
        <w:t>մի կետ, որ այն</w:t>
      </w:r>
      <w:r w:rsidRPr="006E6C61">
        <w:rPr>
          <w:rFonts w:ascii="Sylfaen" w:hAnsi="Sylfaen"/>
        </w:rPr>
        <w:t xml:space="preserve"> հիշեցրել է մի շարք գործերում: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Դատարանը սահմանել է, որ պետությունները պետք է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ժողովրդավարական հասարակությունում</w:t>
      </w:r>
      <w:r w:rsidRPr="00BD2E4D">
        <w:rPr>
          <w:rFonts w:ascii="Sylfaen" w:hAnsi="Sylfaen"/>
        </w:rPr>
        <w:t xml:space="preserve"> </w:t>
      </w:r>
      <w:r w:rsidRPr="006E6C61">
        <w:rPr>
          <w:rFonts w:ascii="Sylfaen" w:hAnsi="Sylfaen"/>
        </w:rPr>
        <w:t>անհրաժեշտ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>չափանիշը համապատասխան հոդվածում նշված սահմանափակման հատուկ հիմքերից մեկին: Պետությունը չի կարող  օրինապես վկայակոչել ընդհանուր անհրաժեշտությունն անհատական իրավունքների և ազատությունների սահմանափակումը հիմնավորելու համար:  Տարբեր հոդվածներում նշված իրավունքների և ազատությունների սահմանափակման հիմքերը կքննարկվեն հետագա գլուխներում: Այնուամենայնիվ, կարևոր է հիշել, որ Դատարանը ժողովրդավարական հասարակություն հասկացությունն ընկալում է այնպիսի հասկացությունների շրջանակներում, ինչպիսիք են բազմակարծությունը, հանդուրժողականությունը, լայնահայացությունը, որոնցից որևէ մեկը այսքան բառերով նշված չէ Կոնվենցիայում (</w:t>
      </w:r>
      <w:r>
        <w:rPr>
          <w:rFonts w:ascii="Sylfaen" w:hAnsi="Sylfaen"/>
          <w:i/>
          <w:iCs/>
        </w:rPr>
        <w:t>Հենդիսայդ</w:t>
      </w:r>
      <w:r w:rsidRPr="006E6C61">
        <w:rPr>
          <w:rFonts w:ascii="Sylfaen" w:hAnsi="Sylfaen"/>
        </w:rPr>
        <w:t xml:space="preserve">): Դատարանը նաև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անհրաժեշտ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 xml:space="preserve">եզրույթը դիտարկում է որպես ոչ հոմանիշ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պարտադիրին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, </w:t>
      </w:r>
      <w:r w:rsidRPr="006E6C61">
        <w:rPr>
          <w:rFonts w:ascii="Sylfaen" w:hAnsi="Sylfaen"/>
        </w:rPr>
        <w:t xml:space="preserve">ոչ էլ  նույնքան  ճկուն, որքան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ընդունելի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,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սովորական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,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օգտակար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,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ողջամիտ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 xml:space="preserve">կամ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ցանկալի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>բառերը (</w:t>
      </w:r>
      <w:r w:rsidRPr="006E6C61">
        <w:rPr>
          <w:rFonts w:ascii="Sylfaen" w:hAnsi="Sylfaen"/>
          <w:i/>
        </w:rPr>
        <w:t>Սիլվեր, Հենդիսայդ</w:t>
      </w:r>
      <w:r w:rsidRPr="006E6C61">
        <w:rPr>
          <w:rFonts w:ascii="Sylfaen" w:hAnsi="Sylfaen"/>
        </w:rPr>
        <w:t>):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lastRenderedPageBreak/>
        <w:t xml:space="preserve">Կոնվենցիայի պաշտպանության մարմիններն իրականացնում են երկկողմանի վերլուծություն սահմանելու համար, թե արդյոք պետության տվյալ գործողությունը համապատասխանում է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ժողովրդավարական հասարակությունում անհրաժեշտ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 xml:space="preserve">չափորոշչին:  Նախ, պարզում են, թե արդյոք պարտադրված սահմանափակման նպատակն ինքնին իրավաչափ է: Ապա  ուսումնասիրվում է, թե արդյոք  խնդրի առարկա իրավունքի կամ ազատության սահմանափակման միջոցները 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համաչափ են հետապնդվող իրավաչափ նպատակին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: </w:t>
      </w:r>
      <w:r w:rsidRPr="006E6C61">
        <w:rPr>
          <w:rFonts w:ascii="Sylfaen" w:hAnsi="Sylfaen"/>
        </w:rPr>
        <w:t xml:space="preserve"> Պետության համար շատ հաճախ ավելի դժվար է բավ</w:t>
      </w:r>
      <w:r>
        <w:rPr>
          <w:rFonts w:ascii="Sylfaen" w:hAnsi="Sylfaen"/>
        </w:rPr>
        <w:t>ա</w:t>
      </w:r>
      <w:r w:rsidRPr="006E6C61">
        <w:rPr>
          <w:rFonts w:ascii="Sylfaen" w:hAnsi="Sylfaen"/>
        </w:rPr>
        <w:t xml:space="preserve">րարել այս պահանջը: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Անհրաժեշտություն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>հասկացությունը  նշանակում է, որ  երաշխավորված իրավունքից  օգտվելուն  ցանկացած միջամտություն պետք է համապատասխանի սոցիալական հրատապ պահանջի և, մասնավորապես,  համաչափ լինի հետապնդվող իրավաչափ նպատակին:  Միջամտությ</w:t>
      </w:r>
      <w:r>
        <w:rPr>
          <w:rFonts w:ascii="Sylfaen" w:hAnsi="Sylfaen"/>
        </w:rPr>
        <w:t>ան</w:t>
      </w:r>
      <w:r w:rsidRPr="006E6C61">
        <w:rPr>
          <w:rFonts w:ascii="Sylfaen" w:hAnsi="Sylfaen"/>
        </w:rPr>
        <w:t xml:space="preserve">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անհրաժեշտությունը</w:t>
      </w:r>
      <w:r>
        <w:rPr>
          <w:rFonts w:ascii="ArTarumianTimes" w:hAnsi="ArTarumianTimes"/>
        </w:rPr>
        <w:t>»</w:t>
      </w:r>
      <w:r w:rsidRPr="006E6C61">
        <w:rPr>
          <w:rFonts w:ascii="Sylfaen" w:hAnsi="Sylfaen"/>
        </w:rPr>
        <w:t xml:space="preserve"> գնահատելիս Դատարանը հաշվի է առնում պետական մարմիններին շնորհված հայեցողության սահմանները: Այնուամենայնիվ, Դատարանը համարում է, որ Պատասխանող պետությունը պետք է ցույց տա  տվյալ միջամտության հետ կապված սոցիալական հրատապ պահանջի առկայությունը  (</w:t>
      </w:r>
      <w:r w:rsidRPr="006E6C61">
        <w:rPr>
          <w:rFonts w:ascii="Sylfaen" w:hAnsi="Sylfaen"/>
          <w:i/>
        </w:rPr>
        <w:t xml:space="preserve">Մակլիոդն ընդդեմ Մեծ Բրիտանիայի </w:t>
      </w:r>
      <w:r w:rsidRPr="006E6C61">
        <w:rPr>
          <w:rFonts w:ascii="ArTarumianTimes" w:hAnsi="ArTarumianTimes"/>
          <w:i/>
        </w:rPr>
        <w:t>[</w:t>
      </w:r>
      <w:hyperlink r:id="rId13" w:history="1">
        <w:r w:rsidRPr="006E6C61">
          <w:rPr>
            <w:rStyle w:val="Hyperlink"/>
            <w:rFonts w:ascii="Sylfaen" w:hAnsi="Sylfaen"/>
            <w:i/>
            <w:iCs/>
          </w:rPr>
          <w:t>McLeod v. the United Kingdom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(1998) և  </w:t>
      </w:r>
      <w:r w:rsidRPr="006E6C61">
        <w:rPr>
          <w:rFonts w:ascii="Sylfaen" w:hAnsi="Sylfaen"/>
          <w:i/>
        </w:rPr>
        <w:t xml:space="preserve">Կլամեցկին ընդդեմ Լեհասնատնի </w:t>
      </w:r>
      <w:r w:rsidRPr="006E6C61">
        <w:rPr>
          <w:rFonts w:ascii="ArTarumianTimes" w:hAnsi="ArTarumianTimes"/>
          <w:i/>
        </w:rPr>
        <w:t>[</w:t>
      </w:r>
      <w:hyperlink r:id="rId14" w:history="1">
        <w:r w:rsidRPr="006E6C61">
          <w:rPr>
            <w:rStyle w:val="Hyperlink"/>
            <w:rFonts w:ascii="Sylfaen" w:hAnsi="Sylfaen"/>
            <w:i/>
            <w:iCs/>
          </w:rPr>
          <w:t xml:space="preserve">Klamecki v. Poland </w:t>
        </w:r>
        <w:r w:rsidRPr="006E6C61">
          <w:rPr>
            <w:rStyle w:val="Hyperlink"/>
            <w:rFonts w:ascii="Sylfaen" w:hAnsi="Sylfaen"/>
          </w:rPr>
          <w:t>(</w:t>
        </w:r>
        <w:r w:rsidRPr="006E6C61">
          <w:rPr>
            <w:rStyle w:val="Hyperlink"/>
            <w:rFonts w:ascii="Sylfaen" w:hAnsi="Sylfaen"/>
            <w:i/>
            <w:iCs/>
          </w:rPr>
          <w:t>No. 2</w:t>
        </w:r>
        <w:r w:rsidRPr="006E6C61">
          <w:rPr>
            <w:rStyle w:val="Hyperlink"/>
            <w:rFonts w:ascii="Sylfaen" w:hAnsi="Sylfaen"/>
          </w:rPr>
          <w:t>)</w:t>
        </w:r>
      </w:hyperlink>
      <w:r w:rsidRPr="006E6C61">
        <w:rPr>
          <w:rFonts w:ascii="Sylfaen" w:hAnsi="Sylfaen"/>
        </w:rPr>
        <w:t xml:space="preserve"> </w:t>
      </w:r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</w:rPr>
        <w:t>(2003)): Սահմանելու համար, թե արդյոք տվյալ գործում պետությունը գործել է իր հայեցողության սահմաններում, Դատարանը կարող է հաճախ ուսումնասիրել Կոնվենցիայի մասնակցի այլ երկրների օրենսդրությունը և պրակտիկան, ինչպես նաև  խնդրի առարկա գործի փաստական հանգամանքները: Այն դեպքերում, երբ  պետությունները չունեն ընդհանուր հիմքեր, Դատարանը պատասխանող պետությանը շնորհում է հայեցողության լայն սահմաններ (</w:t>
      </w:r>
      <w:r w:rsidRPr="006E6C61">
        <w:rPr>
          <w:rFonts w:ascii="Sylfaen" w:hAnsi="Sylfaen"/>
          <w:i/>
        </w:rPr>
        <w:t xml:space="preserve">Իսքսը, Իգրեկը և Զեթն ըննդեմ Մեծ Բրիտանիայի </w:t>
      </w:r>
      <w:r w:rsidRPr="006E6C61">
        <w:rPr>
          <w:rFonts w:ascii="ArTarumianTimes" w:hAnsi="ArTarumianTimes"/>
          <w:i/>
        </w:rPr>
        <w:t>[</w:t>
      </w:r>
      <w:hyperlink r:id="rId15" w:history="1">
        <w:r w:rsidRPr="006E6C61">
          <w:rPr>
            <w:rStyle w:val="Hyperlink"/>
            <w:rFonts w:ascii="Sylfaen" w:hAnsi="Sylfaen"/>
            <w:i/>
            <w:iCs/>
          </w:rPr>
          <w:t>X, Y and Z v. the United Kingdom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>(1997)):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Ի լրումն 8-ից 11-րդ հոդվածների երկրորդ մասերում նախատեսված թույլատրելի սահմանափակումների` թիվ 14 Արձանագրության 2-րդ հոդվածի երրորդ մասը, 17-րդ և 18-րդ հոդվածները նախադեսում են անկախ հիմքեր Կոնվենցիայի այլ հոդվածներով ամրագրված հիմնական իրավունքներից օգտվելու սահմանափակման կամ չսահմանափակման համար: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  <w:i/>
          <w:iCs/>
        </w:rPr>
      </w:pPr>
      <w:proofErr w:type="gramStart"/>
      <w:r w:rsidRPr="006E6C61">
        <w:rPr>
          <w:rFonts w:ascii="Sylfaen" w:hAnsi="Sylfaen"/>
          <w:i/>
          <w:iCs/>
        </w:rPr>
        <w:lastRenderedPageBreak/>
        <w:t>Աղբյուր` Համառոտ ուղեցույց Մարդու իրավունքների եվրոպական կոնվենցիայի վերաբերյալ</w:t>
      </w:r>
      <w:r>
        <w:rPr>
          <w:rFonts w:ascii="Sylfaen" w:hAnsi="Sylfaen"/>
          <w:i/>
          <w:iCs/>
        </w:rPr>
        <w:t>,</w:t>
      </w:r>
      <w:r w:rsidRPr="006E6C61">
        <w:rPr>
          <w:rFonts w:ascii="Sylfaen" w:hAnsi="Sylfaen"/>
          <w:i/>
          <w:iCs/>
        </w:rPr>
        <w:t xml:space="preserve"> Դոննա Գոմիեն, </w:t>
      </w:r>
      <w:r w:rsidRPr="006E6C61">
        <w:rPr>
          <w:rFonts w:ascii="ArTarumianTimes" w:hAnsi="ArTarumianTimes"/>
          <w:i/>
          <w:iCs/>
        </w:rPr>
        <w:t>[</w:t>
      </w:r>
      <w:r w:rsidRPr="006E6C61">
        <w:rPr>
          <w:rFonts w:ascii="Sylfaen" w:hAnsi="Sylfaen"/>
          <w:i/>
          <w:iCs/>
        </w:rPr>
        <w:t>Short Guide to the European Convention on Human Rights, Donna Gomien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  <w:i/>
          <w:iCs/>
        </w:rPr>
        <w:t xml:space="preserve"> 2005թ.</w:t>
      </w:r>
      <w:proofErr w:type="gramEnd"/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Ինքնուրույն հասկացություններ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Ինքնուրույն հասկացությունները կապված են Մարդու իրավունքների եվրոպական դատարանի կողմից Կոնվենցիայի մեկնաբանման հետ:  Կոնվենցիան մեկնաբանելիս, Դատարանն իրավունքներին տալիս է </w:t>
      </w:r>
      <w:r w:rsidRPr="006E6C61">
        <w:rPr>
          <w:rFonts w:ascii="Sylfaen" w:hAnsi="Sylfaen"/>
          <w:i/>
        </w:rPr>
        <w:t>նպատակային</w:t>
      </w:r>
      <w:r w:rsidRPr="006E6C61">
        <w:rPr>
          <w:rFonts w:ascii="Sylfaen" w:hAnsi="Sylfaen"/>
        </w:rPr>
        <w:t xml:space="preserve"> մեկնաբանություն: Այն բառացիորեն չի մեկնաբանում Կոնվենցիան և խստորեն չի հենվում Կոնվենցիայի ներկա տեքստին:  Կոնվենցիայի սկզբնական առարկան և նպատակը մասնակից պետությունների կողմից անհատական իրավունքները խախտելուց պաշտպանությունն է: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 Կոնվենցիայի առարկայի և նպատակի իրականացման համար Դատարանն ընդունել է մեկնաբանման մի քանի սկզբունքներ:  Ի լրումն դինամիկ մեկնաբանության (ներկա իրավիճակով պայմանավորված մեկնաբանություն)` Դատարանը նշել է, որ իրավունքները պետք է մեկնաբանվեն այնպես, որ լինեն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գործնական և արդյունավետ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 xml:space="preserve">և ոչ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տեսական և մտացածին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, </w:t>
      </w:r>
      <w:r w:rsidRPr="006E6C61">
        <w:rPr>
          <w:rFonts w:ascii="Sylfaen" w:hAnsi="Sylfaen"/>
        </w:rPr>
        <w:t>իրավունքները պետք է մեկնաբանվեն լայնորեն, իսկ բացառու</w:t>
      </w:r>
      <w:r>
        <w:rPr>
          <w:rFonts w:ascii="Sylfaen" w:hAnsi="Sylfaen"/>
        </w:rPr>
        <w:t>թյունները կամ սահմանափակումները</w:t>
      </w:r>
      <w:r w:rsidRPr="006E6C61">
        <w:rPr>
          <w:rFonts w:ascii="Sylfaen" w:hAnsi="Sylfaen"/>
        </w:rPr>
        <w:t xml:space="preserve">` սահմանափակ կերպով, և որ Կոնվենցիայի որոշ եզրույթներ ունեն </w:t>
      </w:r>
      <w:r w:rsidRPr="006E6C61">
        <w:rPr>
          <w:rFonts w:ascii="Sylfaen" w:hAnsi="Sylfaen"/>
          <w:i/>
        </w:rPr>
        <w:t xml:space="preserve">ինքնուրույն </w:t>
      </w:r>
      <w:r w:rsidRPr="006E6C61">
        <w:rPr>
          <w:rFonts w:ascii="Sylfaen" w:hAnsi="Sylfaen"/>
        </w:rPr>
        <w:t xml:space="preserve">(կամ անկախ) իմաստ: Այս ամենն անհրաժեշտ է դրույթների միատեսակ կիրառման, Կոնվենցիայի նպատակներից շեղումները, ինչպես նաև մասնակից պետությունների ներպետական օրենսդրության սկզբունքներին կամ եզրույթներին Կոնվենցիայի դրույթների ստորակարգումը կանխելու համար: 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Դրական պարտավորություններ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eastAsiaTheme="minorEastAsia" w:hAnsi="Sylfaen" w:cs="Arial"/>
          <w:color w:val="000000"/>
          <w:lang w:eastAsia="ja-JP"/>
        </w:rPr>
      </w:pPr>
      <w:r w:rsidRPr="006E6C61">
        <w:rPr>
          <w:rFonts w:ascii="Sylfaen" w:eastAsiaTheme="minorEastAsia" w:hAnsi="Sylfaen" w:cs="Arial"/>
          <w:color w:val="000000"/>
          <w:lang w:eastAsia="ja-JP"/>
        </w:rPr>
        <w:t xml:space="preserve">Կոնվենցիան հիմնականում պաշտպանում է անհատներին պետության կողմից իրենց իրավունքները խախտելուց, սակայն, ի լրումն իրավունքների բացասական պաշտպանությանը (մասնավորապես  պետություններից  և պաշտոնյաներից պահանջելով չմիջամտել  ամրագրված իրավունքներին)`  որոշ հանգամանքներում </w:t>
      </w:r>
      <w:r w:rsidRPr="006E6C61">
        <w:rPr>
          <w:rFonts w:ascii="Sylfaen" w:eastAsiaTheme="minorEastAsia" w:hAnsi="Sylfaen" w:cs="Arial"/>
          <w:color w:val="000000"/>
          <w:lang w:eastAsia="ja-JP"/>
        </w:rPr>
        <w:lastRenderedPageBreak/>
        <w:t>Կոնվենցիան պարտադրում է նաև դրական պարտավորություններ պետության</w:t>
      </w:r>
      <w:r>
        <w:rPr>
          <w:rFonts w:ascii="Sylfaen" w:eastAsiaTheme="minorEastAsia" w:hAnsi="Sylfaen" w:cs="Arial"/>
          <w:color w:val="000000"/>
          <w:lang w:eastAsia="ja-JP"/>
        </w:rPr>
        <w:t xml:space="preserve"> </w:t>
      </w:r>
      <w:r w:rsidRPr="006E6C61">
        <w:rPr>
          <w:rFonts w:ascii="Sylfaen" w:eastAsiaTheme="minorEastAsia" w:hAnsi="Sylfaen" w:cs="Arial"/>
          <w:color w:val="000000"/>
          <w:lang w:eastAsia="ja-JP"/>
        </w:rPr>
        <w:t>կողմից իրավունքների պաշտպանությունն ապահովելու նպատակով:  Հետևաբար, իրավունքը կարող է խախտվել պետության</w:t>
      </w:r>
      <w:r>
        <w:rPr>
          <w:rFonts w:ascii="Sylfaen" w:eastAsiaTheme="minorEastAsia" w:hAnsi="Sylfaen" w:cs="Arial"/>
          <w:color w:val="000000"/>
          <w:lang w:eastAsia="ja-JP"/>
        </w:rPr>
        <w:t xml:space="preserve"> </w:t>
      </w:r>
      <w:r w:rsidRPr="006E6C61">
        <w:rPr>
          <w:rFonts w:ascii="Sylfaen" w:eastAsiaTheme="minorEastAsia" w:hAnsi="Sylfaen" w:cs="Arial"/>
          <w:color w:val="000000"/>
          <w:lang w:eastAsia="ja-JP"/>
        </w:rPr>
        <w:t xml:space="preserve">կողմից որոշակի գործողության չկատարման կամ անգործության արդյունքում: Օրինակ` պետությունն ունի դրական պարտավորություն կյանքի իրավունքը պաշտպանելու նպատակով օրենքների մշակման առումով, հետևաբար, պետությունը պետք է ապահովի օրենքներ սպանության և մարդասպանության մեղավորներին հետապնդելու համար: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eastAsiaTheme="minorEastAsia" w:hAnsi="Sylfaen" w:cs="Arial"/>
          <w:color w:val="000000"/>
          <w:lang w:eastAsia="ja-JP"/>
        </w:rPr>
      </w:pPr>
      <w:r w:rsidRPr="006E6C61">
        <w:rPr>
          <w:rFonts w:ascii="Sylfaen" w:eastAsiaTheme="minorEastAsia" w:hAnsi="Sylfaen" w:cs="Arial"/>
          <w:color w:val="000000"/>
          <w:lang w:eastAsia="ja-JP"/>
        </w:rPr>
        <w:t xml:space="preserve">Դրական պարտավորությունները հիմնականում ծագում են Կոնվենցիայի 1-ին հոդվածով նախատեսված  </w:t>
      </w:r>
      <w:r>
        <w:rPr>
          <w:rFonts w:ascii="ArTarumianTimes" w:eastAsiaTheme="minorEastAsia" w:hAnsi="ArTarumianTimes" w:cs="Arial"/>
          <w:color w:val="000000"/>
          <w:lang w:eastAsia="ja-JP"/>
        </w:rPr>
        <w:t>«</w:t>
      </w:r>
      <w:r w:rsidRPr="006E6C61">
        <w:rPr>
          <w:rFonts w:ascii="Sylfaen" w:eastAsiaTheme="minorEastAsia" w:hAnsi="Sylfaen" w:cs="Arial"/>
          <w:color w:val="000000"/>
          <w:lang w:eastAsia="ja-JP"/>
        </w:rPr>
        <w:t xml:space="preserve">իր իրավազորության ներքո </w:t>
      </w:r>
      <w:r>
        <w:rPr>
          <w:rFonts w:ascii="Sylfaen" w:eastAsiaTheme="minorEastAsia" w:hAnsi="Sylfaen" w:cs="Arial"/>
          <w:color w:val="000000"/>
          <w:lang w:eastAsia="ja-JP"/>
        </w:rPr>
        <w:t>գ</w:t>
      </w:r>
      <w:r w:rsidRPr="006E6C61">
        <w:rPr>
          <w:rFonts w:ascii="Sylfaen" w:eastAsiaTheme="minorEastAsia" w:hAnsi="Sylfaen" w:cs="Arial"/>
          <w:color w:val="000000"/>
          <w:lang w:eastAsia="ja-JP"/>
        </w:rPr>
        <w:t>տ</w:t>
      </w:r>
      <w:r>
        <w:rPr>
          <w:rFonts w:ascii="Sylfaen" w:eastAsiaTheme="minorEastAsia" w:hAnsi="Sylfaen" w:cs="Arial"/>
          <w:color w:val="000000"/>
          <w:lang w:eastAsia="ja-JP"/>
        </w:rPr>
        <w:t>ն</w:t>
      </w:r>
      <w:r w:rsidRPr="006E6C61">
        <w:rPr>
          <w:rFonts w:ascii="Sylfaen" w:eastAsiaTheme="minorEastAsia" w:hAnsi="Sylfaen" w:cs="Arial"/>
          <w:color w:val="000000"/>
          <w:lang w:eastAsia="ja-JP"/>
        </w:rPr>
        <w:t>վող յուրաքանչյուրի համար Կոնվենցիայով սահմանված իրավունքների ապահովման</w:t>
      </w:r>
      <w:r>
        <w:rPr>
          <w:rFonts w:ascii="ArTarumianTimes" w:eastAsiaTheme="minorEastAsia" w:hAnsi="ArTarumianTimes" w:cs="Arial"/>
          <w:color w:val="000000"/>
          <w:lang w:eastAsia="ja-JP"/>
        </w:rPr>
        <w:t>»</w:t>
      </w:r>
      <w:r w:rsidRPr="006E6C61">
        <w:rPr>
          <w:rFonts w:ascii="Sylfaen" w:eastAsiaTheme="minorEastAsia" w:hAnsi="Sylfaen" w:cs="Arial"/>
          <w:color w:val="000000"/>
          <w:lang w:eastAsia="ja-JP"/>
        </w:rPr>
        <w:t xml:space="preserve"> պարտավորության արդյունքում:  Սակայն որոշ դեպքերում դրական պարտավորությունն ակնհայտ է հենց  կոնկրետ Հոդվածում, օրինակ` 2-րդ հոդվածը նախատեսում է, որ կյանքի իրավունքը </w:t>
      </w:r>
      <w:r>
        <w:rPr>
          <w:rFonts w:ascii="ArTarumianTimes" w:eastAsiaTheme="minorEastAsia" w:hAnsi="ArTarumianTimes" w:cs="Arial"/>
          <w:color w:val="000000"/>
          <w:lang w:eastAsia="ja-JP"/>
        </w:rPr>
        <w:t>«</w:t>
      </w:r>
      <w:r w:rsidRPr="006E6C61">
        <w:rPr>
          <w:rFonts w:ascii="Sylfaen" w:eastAsiaTheme="minorEastAsia" w:hAnsi="Sylfaen" w:cs="Arial"/>
          <w:color w:val="000000"/>
          <w:lang w:eastAsia="ja-JP"/>
        </w:rPr>
        <w:t>պետք է պաշտպանվի օրենքով</w:t>
      </w:r>
      <w:r>
        <w:rPr>
          <w:rFonts w:ascii="ArTarumianTimes" w:eastAsiaTheme="minorEastAsia" w:hAnsi="ArTarumianTimes" w:cs="Arial"/>
          <w:color w:val="000000"/>
          <w:lang w:eastAsia="ja-JP"/>
        </w:rPr>
        <w:t>»</w:t>
      </w:r>
      <w:r w:rsidRPr="006E6C61">
        <w:rPr>
          <w:rFonts w:ascii="Sylfaen" w:eastAsiaTheme="minorEastAsia" w:hAnsi="Sylfaen" w:cs="Arial"/>
          <w:color w:val="000000"/>
          <w:lang w:eastAsia="ja-JP"/>
        </w:rPr>
        <w:t xml:space="preserve">, իսկ 6-րդ հոդվածը պարտադրում է ապահովել դատարաններ, որոնք կգործեն ողջամիտ ժամկետներում, ինչպես նաև ապահովել թարգմանիչներ և իրավաբանական  օգնություն քրեական դատավարությունների ժամանակ: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eastAsiaTheme="minorEastAsia" w:hAnsi="Sylfaen" w:cs="Arial"/>
          <w:color w:val="000000"/>
          <w:lang w:eastAsia="ja-JP"/>
        </w:rPr>
      </w:pPr>
      <w:r w:rsidRPr="006E6C61">
        <w:rPr>
          <w:rFonts w:ascii="Sylfaen" w:eastAsiaTheme="minorEastAsia" w:hAnsi="Sylfaen" w:cs="Arial"/>
          <w:color w:val="000000"/>
          <w:lang w:eastAsia="ja-JP"/>
        </w:rPr>
        <w:t xml:space="preserve">Դրական պարտավորությունը կարող է ծագել նաև այն ժամանակ, երբ պետությունը համաձայնագրի շրջանակներում իր պարտավորությունները պատվիրակել է  մասնավոր մարմնի: Օրինակ` </w:t>
      </w:r>
      <w:r w:rsidRPr="006E6C61">
        <w:rPr>
          <w:rFonts w:ascii="Sylfaen" w:eastAsiaTheme="minorEastAsia" w:hAnsi="Sylfaen" w:cs="Arial"/>
          <w:i/>
          <w:color w:val="000000"/>
          <w:lang w:eastAsia="ja-JP"/>
        </w:rPr>
        <w:t xml:space="preserve">Կոստելլո-Ռոբերտսն ընդդեմ Մեծ Բրիտանիայի </w:t>
      </w:r>
      <w:r w:rsidRPr="006E6C61">
        <w:rPr>
          <w:rFonts w:ascii="ArTarumianTimes" w:eastAsiaTheme="minorEastAsia" w:hAnsi="ArTarumianTimes" w:cs="Arial"/>
          <w:i/>
          <w:color w:val="000000"/>
          <w:lang w:eastAsia="ja-JP"/>
        </w:rPr>
        <w:t>[</w:t>
      </w:r>
      <w:hyperlink r:id="rId16" w:history="1">
        <w:r w:rsidRPr="006E6C61">
          <w:rPr>
            <w:rStyle w:val="Hyperlink"/>
            <w:rFonts w:ascii="Sylfaen" w:eastAsiaTheme="minorEastAsia" w:hAnsi="Sylfaen" w:cs="Arial"/>
            <w:lang w:eastAsia="ja-JP"/>
          </w:rPr>
          <w:t>Costello-Roberts v. United Kingdom</w:t>
        </w:r>
      </w:hyperlink>
      <w:r w:rsidRPr="006E6C61">
        <w:rPr>
          <w:rFonts w:ascii="Sylfaen" w:eastAsiaTheme="minorEastAsia" w:hAnsi="Sylfaen" w:cs="Arial"/>
          <w:color w:val="000000"/>
          <w:lang w:eastAsia="ja-JP"/>
        </w:rPr>
        <w:t xml:space="preserve"> (1993) 19 E.H.R.R 112</w:t>
      </w:r>
      <w:r w:rsidRPr="006E6C61">
        <w:rPr>
          <w:rFonts w:ascii="ArTarumianTimes" w:eastAsiaTheme="minorEastAsia" w:hAnsi="ArTarumianTimes" w:cs="Arial"/>
          <w:color w:val="000000"/>
          <w:lang w:eastAsia="ja-JP"/>
        </w:rPr>
        <w:t xml:space="preserve">] </w:t>
      </w:r>
      <w:r w:rsidRPr="006E6C61">
        <w:rPr>
          <w:rFonts w:ascii="Sylfaen" w:eastAsiaTheme="minorEastAsia" w:hAnsi="Sylfaen" w:cs="Arial"/>
          <w:color w:val="000000"/>
          <w:lang w:eastAsia="ja-JP"/>
        </w:rPr>
        <w:t>գործում  Դատարանը համարել է, որ  Մեծ Բրիտանիան պատասխանատու է ոչ միայն  պետական դպրոցների (պետության կողմից ֆինանսավորվող դպրոցներ), այլ նաև մասնավոր դպրոցների (դպրոցներ, ուր աշակերտները վճարում են իրենց ուսման համար) համակարգում տեղ գտնող անմարդկային և արժանապատվությունը նվաստացնող պատժին համարժեք մարմնական դաժան պատիժների համար: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Բացասական պարտավորություններ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eastAsiaTheme="minorEastAsia" w:hAnsi="Sylfaen" w:cs="Arial"/>
          <w:color w:val="000000"/>
          <w:lang w:eastAsia="ja-JP"/>
        </w:rPr>
        <w:t>Կոնվենցիայով ամրագրված իրավունքներին չմիջամտելու պահանջ`ուղղված պետություններին և պաշտոնյաներին: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Լրացուցչայնություն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Կոնվենցիայի մասնակից պետությունները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իրենց իրավազորության ներքո գտնվող յուրաքանչյուր</w:t>
      </w:r>
      <w:r>
        <w:rPr>
          <w:rFonts w:ascii="Sylfaen" w:hAnsi="Sylfaen"/>
        </w:rPr>
        <w:t>ի</w:t>
      </w:r>
      <w:r w:rsidRPr="006E6C61">
        <w:rPr>
          <w:rFonts w:ascii="Sylfaen" w:hAnsi="Sylfaen"/>
        </w:rPr>
        <w:t xml:space="preserve"> համար ահապովում են այն իրավունքներն ու ազատությունները, որոնք սահմանված են սույն Կոնվենցիայի 1-ին բաժնում (ՄԻԵԿ-ի  1-ին հոդված):</w:t>
      </w:r>
      <w:r>
        <w:rPr>
          <w:rFonts w:ascii="Sylfaen" w:hAnsi="Sylfaen"/>
        </w:rPr>
        <w:t xml:space="preserve"> Հետև</w:t>
      </w:r>
      <w:r w:rsidRPr="006E6C61">
        <w:rPr>
          <w:rFonts w:ascii="Sylfaen" w:hAnsi="Sylfaen"/>
        </w:rPr>
        <w:t xml:space="preserve">աբար, առաջին հերթին պետությունն է պատասխանատու Կոնվենցիայով </w:t>
      </w:r>
      <w:r w:rsidRPr="006E6C61">
        <w:rPr>
          <w:rFonts w:ascii="Sylfaen" w:hAnsi="Sylfaen"/>
        </w:rPr>
        <w:lastRenderedPageBreak/>
        <w:t>ամրագրված իրավունքների և ազատությունների պաշտպան</w:t>
      </w:r>
      <w:r>
        <w:rPr>
          <w:rFonts w:ascii="Sylfaen" w:hAnsi="Sylfaen"/>
        </w:rPr>
        <w:t>ության</w:t>
      </w:r>
      <w:r w:rsidRPr="006E6C61">
        <w:rPr>
          <w:rFonts w:ascii="Sylfaen" w:hAnsi="Sylfaen"/>
        </w:rPr>
        <w:t xml:space="preserve"> ապահովման և իրավական պաշտպանության արդյունավետ միջոցներ ապահովելու համար այն դեպքերում, երբ որևէ մեկը պնդում է, թե խախտվել են իր իրավունքները (տե´ս ՄԻԵԿ-ի 13-րդ հոդվածը): Մարդու իրավունքերի եվրոպական դատարանը լրացնում է մարդու իրավունքների պաշտպանության և խախտումները վերացնելու ներպ</w:t>
      </w:r>
      <w:r>
        <w:rPr>
          <w:rFonts w:ascii="Sylfaen" w:hAnsi="Sylfaen"/>
        </w:rPr>
        <w:t>ետ</w:t>
      </w:r>
      <w:r w:rsidRPr="006E6C61">
        <w:rPr>
          <w:rFonts w:ascii="Sylfaen" w:hAnsi="Sylfaen"/>
        </w:rPr>
        <w:t xml:space="preserve">ական համակարգերին: Եվրոպական դատարան գանգատ կարելի է  ներկայացնել միայն այն ժամանակ, երբ սպառվել են իրավական պաշտպանության  բոլոր ներքին միջոցները ( 35-րդ հոդված):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  <w:i/>
          <w:iCs/>
        </w:rPr>
        <w:t>Աղբյուր` ՄԻԵԿ-ի վերաբերյալ վերապատրաստման ձեռնարկ, Նուալա Մոլ և ուրիշներ</w:t>
      </w:r>
      <w:proofErr w:type="gramStart"/>
      <w:r w:rsidRPr="006E6C61">
        <w:rPr>
          <w:rFonts w:ascii="Sylfaen" w:hAnsi="Sylfaen"/>
          <w:i/>
          <w:iCs/>
        </w:rPr>
        <w:t xml:space="preserve">,  </w:t>
      </w:r>
      <w:r w:rsidRPr="006E6C61">
        <w:rPr>
          <w:rFonts w:ascii="ArTarumianTimes" w:hAnsi="ArTarumianTimes"/>
          <w:i/>
          <w:iCs/>
        </w:rPr>
        <w:t>[</w:t>
      </w:r>
      <w:proofErr w:type="gramEnd"/>
      <w:r w:rsidRPr="006E6C61">
        <w:rPr>
          <w:rFonts w:ascii="Sylfaen" w:hAnsi="Sylfaen"/>
          <w:i/>
          <w:iCs/>
        </w:rPr>
        <w:t>Training Manual ECHR, Nuala Mole and others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  <w:i/>
          <w:iCs/>
        </w:rPr>
        <w:t>, 2007թ.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Համաչափություն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Համաչափության սկզբունքը դա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համայնքի ընդհանուր շահի պահանջների և անհատի հիմնարար իրավունքների պաշտպանության պահանջների միջև արդարացի հավասարակշռության որոնումն է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 xml:space="preserve">(վճիռ </w:t>
      </w:r>
      <w:r w:rsidRPr="006E6C61">
        <w:rPr>
          <w:rFonts w:ascii="Sylfaen" w:hAnsi="Sylfaen"/>
          <w:i/>
        </w:rPr>
        <w:t>Սորինգն ընդդեմ Մեծ Բրիտանիայի</w:t>
      </w:r>
      <w:r w:rsidRPr="006E6C61">
        <w:rPr>
          <w:rFonts w:ascii="Sylfaen" w:hAnsi="Sylfaen"/>
        </w:rPr>
        <w:t xml:space="preserve"> </w:t>
      </w:r>
      <w:proofErr w:type="gramStart"/>
      <w:r w:rsidRPr="006E6C61">
        <w:rPr>
          <w:rFonts w:ascii="ArTarumianTimes" w:hAnsi="ArTarumianTimes"/>
        </w:rPr>
        <w:t>[</w:t>
      </w:r>
      <w:r w:rsidRPr="006E6C61">
        <w:rPr>
          <w:rFonts w:ascii="Sylfaen" w:hAnsi="Sylfaen"/>
        </w:rPr>
        <w:t xml:space="preserve"> </w:t>
      </w:r>
      <w:proofErr w:type="gramEnd"/>
      <w:r>
        <w:fldChar w:fldCharType="begin"/>
      </w:r>
      <w:r>
        <w:instrText xml:space="preserve"> HYPERLINK "http://hudoc.echr.coe.int/sites/eng/pages/search.aspx?i=001-57619" </w:instrText>
      </w:r>
      <w:r>
        <w:fldChar w:fldCharType="separate"/>
      </w:r>
      <w:r w:rsidRPr="006E6C61">
        <w:rPr>
          <w:rStyle w:val="Hyperlink"/>
          <w:rFonts w:ascii="Sylfaen" w:hAnsi="Sylfaen"/>
        </w:rPr>
        <w:t>Soering v. UK</w:t>
      </w:r>
      <w:r>
        <w:rPr>
          <w:rStyle w:val="Hyperlink"/>
          <w:rFonts w:ascii="Sylfaen" w:hAnsi="Sylfaen"/>
        </w:rPr>
        <w:fldChar w:fldCharType="end"/>
      </w:r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</w:rPr>
        <w:t>, կետ  89):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Արդարացի բավարարում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Մարդու իրավունքների եվրոպական կոնվենցիայի 41-րդ հոդվածը սահմանում է, որ եթե Բարձր պայմանավորվող կողմը խախտել է Կոնվենցիայով նախատեսված իր պարտավորությունները, և եթե իր ներպետական օրենսդրությունը  չի ընձեռում այդ խախտման համապատասխան փոխհատուցում, այ</w:t>
      </w:r>
      <w:r>
        <w:rPr>
          <w:rFonts w:ascii="Sylfaen" w:hAnsi="Sylfaen"/>
        </w:rPr>
        <w:t>դ</w:t>
      </w:r>
      <w:r w:rsidRPr="006E6C61">
        <w:rPr>
          <w:rFonts w:ascii="Sylfaen" w:hAnsi="Sylfaen"/>
        </w:rPr>
        <w:t xml:space="preserve"> ժամանակ  </w:t>
      </w:r>
      <w:r>
        <w:rPr>
          <w:rFonts w:ascii="ArTarumianTimes" w:hAnsi="ArTarumianTimes"/>
        </w:rPr>
        <w:t>«</w:t>
      </w:r>
      <w:r>
        <w:rPr>
          <w:rFonts w:ascii="Sylfaen" w:hAnsi="Sylfaen"/>
        </w:rPr>
        <w:t>Դատարանը որոշում է</w:t>
      </w:r>
      <w:r w:rsidRPr="006E6C61">
        <w:rPr>
          <w:rFonts w:ascii="Sylfaen" w:hAnsi="Sylfaen"/>
        </w:rPr>
        <w:t>, անհրաժեշտության դեպքում, տուժած կողմին արդարացի փոխհատուցում տրամադրել</w:t>
      </w:r>
      <w:r>
        <w:rPr>
          <w:rFonts w:ascii="ArTarumianTimes" w:hAnsi="ArTarumianTimes"/>
        </w:rPr>
        <w:t>»</w:t>
      </w:r>
      <w:r w:rsidRPr="006E6C61">
        <w:rPr>
          <w:rFonts w:ascii="Sylfaen" w:hAnsi="Sylfaen"/>
        </w:rPr>
        <w:t xml:space="preserve">: Շատ դեպքերում, Դատարանը կարող է եզրակացնել, որ խախտման արձանագրումն արդեն իսկ արդարացի բավարարում է, իսկ այլ դեպքերում, որ  խորհրդանշական գումարը բավարար է:  Մի կողմից, որոշ դեպքերում Դատարանը շոշափելի գումարներ է հատկացնում հաջողած դիմումատուին, այդ թվում նաև` պետության կողմից </w:t>
      </w:r>
      <w:r>
        <w:rPr>
          <w:rFonts w:ascii="Sylfaen" w:hAnsi="Sylfaen"/>
        </w:rPr>
        <w:t>անհարկի ձգձգման դիմաց տոկոսները, մ</w:t>
      </w:r>
      <w:r w:rsidRPr="006E6C61">
        <w:rPr>
          <w:rFonts w:ascii="Sylfaen" w:hAnsi="Sylfaen"/>
        </w:rPr>
        <w:t xml:space="preserve">եկ այլ կապակցությամբ Դատարանն արդարացի բավարարման ամենանպատակահարմար ձև է համարել  </w:t>
      </w:r>
      <w:r w:rsidRPr="006E6C61">
        <w:rPr>
          <w:rFonts w:ascii="Sylfaen" w:hAnsi="Sylfaen"/>
        </w:rPr>
        <w:lastRenderedPageBreak/>
        <w:t xml:space="preserve">դիմումատուին ապօրինաբար օտարված գույքի վերադարձը: Ծախսերը նույնպես կարող են փոխհատուցվել 41-րդ հոդվածի շրջանակներում: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  <w:i/>
          <w:iCs/>
        </w:rPr>
        <w:t xml:space="preserve">Մարդու իրավունքների եվրոպական դատարան 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Դատարանը, որպես կանոն, արդարացի բավարարման պահանջի վերաբերյալ որոշումը կայացնում է համաձայն 41-րդ հոդվածի` տվայլ գործի էության վերաբերյալ իր վճռի </w:t>
      </w:r>
      <w:r>
        <w:rPr>
          <w:rFonts w:ascii="Sylfaen" w:hAnsi="Sylfaen"/>
        </w:rPr>
        <w:t>շրջանակներում: Սակայն</w:t>
      </w:r>
      <w:r w:rsidRPr="006E6C61">
        <w:rPr>
          <w:rFonts w:ascii="Sylfaen" w:hAnsi="Sylfaen"/>
        </w:rPr>
        <w:t xml:space="preserve"> այն դեպքերում, երբ այդ հարցը դեռ պատրաստ չէ որոշում կայացնելու համար, ապա Դատարանը այդ հարցին կարող է անդրադառնալ հետագա վճռում: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  <w:i/>
          <w:iCs/>
        </w:rPr>
      </w:pPr>
      <w:proofErr w:type="gramStart"/>
      <w:r w:rsidRPr="006E6C61">
        <w:rPr>
          <w:rFonts w:ascii="Sylfaen" w:hAnsi="Sylfaen"/>
          <w:i/>
          <w:iCs/>
        </w:rPr>
        <w:t xml:space="preserve">Աղբյուր` Համառոտ ուղեցույց Մարդու իրավունքների եվրոպական կոնվենցիայի վերաբերյալ, Դոննա Գոմիոն </w:t>
      </w:r>
      <w:r w:rsidRPr="006E6C61">
        <w:rPr>
          <w:rFonts w:ascii="ArTarumianTimes" w:hAnsi="ArTarumianTimes"/>
          <w:i/>
          <w:iCs/>
        </w:rPr>
        <w:t>[</w:t>
      </w:r>
      <w:r w:rsidRPr="006E6C61">
        <w:rPr>
          <w:rFonts w:ascii="Sylfaen" w:hAnsi="Sylfaen"/>
          <w:i/>
          <w:iCs/>
        </w:rPr>
        <w:t>Short Guide to the European Convention on Human Rights, Donna Gomien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  <w:i/>
          <w:iCs/>
        </w:rPr>
        <w:t>, 2005թ.</w:t>
      </w:r>
      <w:proofErr w:type="gramEnd"/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հայեցողության սահմաններ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Հայ</w:t>
      </w:r>
      <w:r>
        <w:rPr>
          <w:rFonts w:ascii="Sylfaen" w:hAnsi="Sylfaen"/>
        </w:rPr>
        <w:t>ե</w:t>
      </w:r>
      <w:r w:rsidRPr="006E6C61">
        <w:rPr>
          <w:rFonts w:ascii="Sylfaen" w:hAnsi="Sylfaen"/>
        </w:rPr>
        <w:t xml:space="preserve">ցողության սահմաններն ի սկզբանե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ազգային իշխանությունների հատկացված հայեցողության ազատության չափն է այն բանից հետո, երբ Դատարանն ուսումնասիրման համապատասխան մակարդակի վերաբերյալ որոշում է կայացրել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: </w:t>
      </w:r>
      <w:r w:rsidRPr="006E6C61">
        <w:rPr>
          <w:rFonts w:ascii="Sylfaen" w:hAnsi="Sylfaen"/>
        </w:rPr>
        <w:t>Այն հայեցակարգ է, որն արտացոլում է այն փաստը, որ առաջին հերթին ազգային իշխանություններին, այդ թվում` դատարաններին, է ընկնում մարդու իրավունքների պաշտպանության դերը, ի</w:t>
      </w:r>
      <w:r>
        <w:rPr>
          <w:rFonts w:ascii="Sylfaen" w:hAnsi="Sylfaen"/>
        </w:rPr>
        <w:t>ս</w:t>
      </w:r>
      <w:r w:rsidRPr="006E6C61">
        <w:rPr>
          <w:rFonts w:ascii="Sylfaen" w:hAnsi="Sylfaen"/>
        </w:rPr>
        <w:t>կ Դատարանն ունի միայն վերահսկողական դերակատարում: Այս հասկացությունը թույլ  է տալիս նախատեսել ազգային իշխանությունների հայեցողության որոշակի սահմաններ, այն դեպքերում</w:t>
      </w:r>
      <w:r>
        <w:rPr>
          <w:rFonts w:ascii="Sylfaen" w:hAnsi="Sylfaen"/>
        </w:rPr>
        <w:t>,</w:t>
      </w:r>
      <w:r w:rsidRPr="006E6C61">
        <w:rPr>
          <w:rFonts w:ascii="Sylfaen" w:hAnsi="Sylfaen"/>
        </w:rPr>
        <w:t xml:space="preserve"> երբ առկա են սոցիալական, բարոյական կամ տնտեսական քաղաքականության դժվար խնդիրներ, որոնց վերաբերյալ չկա եվրոպական հստակ փոխհամաձայնություն: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  <w:i/>
        </w:rPr>
        <w:t>Ջեյմսն ընդդեմ Մեծ Բրիտանիայի</w:t>
      </w:r>
      <w:r w:rsidRPr="006E6C61">
        <w:rPr>
          <w:rFonts w:ascii="Sylfaen" w:hAnsi="Sylfaen"/>
        </w:rPr>
        <w:t xml:space="preserve"> </w:t>
      </w:r>
      <w:r w:rsidRPr="006E6C61">
        <w:rPr>
          <w:rFonts w:ascii="ArTarumianTimes" w:hAnsi="ArTarumianTimes"/>
        </w:rPr>
        <w:t>[</w:t>
      </w:r>
      <w:hyperlink r:id="rId17" w:history="1">
        <w:r w:rsidRPr="006E6C61">
          <w:rPr>
            <w:rStyle w:val="Hyperlink"/>
            <w:rFonts w:ascii="Sylfaen" w:hAnsi="Sylfaen"/>
            <w:i/>
          </w:rPr>
          <w:t>James v. UK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</w:rPr>
        <w:t xml:space="preserve"> գործից`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 xml:space="preserve">46. Իրենց հասարակության և վերջինիս կարիքների ուղղակի իմացության շնորհիվ` ազգային իշխանություններն ավելի լավ, քան միջազգային դատավորը, կարող են գնահատել, թե որն է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հանրային շահ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>հանդիսանում:  Կոնվենցիայով սահմանված պաշտպանության համակարգի  ներքո, ազգային իշխանությունները պե</w:t>
      </w:r>
      <w:r>
        <w:rPr>
          <w:rFonts w:ascii="Sylfaen" w:hAnsi="Sylfaen"/>
        </w:rPr>
        <w:t>տք է նախնական գնահատական տան թե</w:t>
      </w:r>
      <w:r w:rsidRPr="006E6C61">
        <w:rPr>
          <w:rFonts w:ascii="Sylfaen" w:hAnsi="Sylfaen"/>
        </w:rPr>
        <w:t>´ սեփականության իրավունքից զրկ</w:t>
      </w:r>
      <w:r>
        <w:rPr>
          <w:rFonts w:ascii="Sylfaen" w:hAnsi="Sylfaen"/>
        </w:rPr>
        <w:t xml:space="preserve">ում </w:t>
      </w:r>
      <w:r>
        <w:rPr>
          <w:rFonts w:ascii="Sylfaen" w:hAnsi="Sylfaen"/>
        </w:rPr>
        <w:lastRenderedPageBreak/>
        <w:t>պահանջող</w:t>
      </w:r>
      <w:r w:rsidRPr="006E6C61">
        <w:rPr>
          <w:rFonts w:ascii="Sylfaen" w:hAnsi="Sylfaen"/>
        </w:rPr>
        <w:t xml:space="preserve"> հանրային նշանա</w:t>
      </w:r>
      <w:r>
        <w:rPr>
          <w:rFonts w:ascii="Sylfaen" w:hAnsi="Sylfaen"/>
        </w:rPr>
        <w:t>կության խնդիրների գոյության, թե</w:t>
      </w:r>
      <w:r w:rsidRPr="006E6C61">
        <w:rPr>
          <w:rFonts w:ascii="Sylfaen" w:hAnsi="Sylfaen"/>
        </w:rPr>
        <w:t xml:space="preserve">´ անհրաժեշտ ձեռնարկվելիք ուղղիչ գործողությունների վերաբերյալ (տե´ս, բոլոր փոփոխություններով  Հենդիսայդ </w:t>
      </w:r>
      <w:r w:rsidRPr="006E6C61">
        <w:rPr>
          <w:rFonts w:ascii="ArTarumianTimes" w:hAnsi="ArTarumianTimes"/>
        </w:rPr>
        <w:t>[</w:t>
      </w:r>
      <w:r w:rsidRPr="006E6C61">
        <w:rPr>
          <w:rFonts w:ascii="Sylfaen" w:hAnsi="Sylfaen"/>
        </w:rPr>
        <w:t>Handyside</w:t>
      </w:r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</w:rPr>
        <w:t xml:space="preserve"> վճիռը,  դեկտեմբերի 7, 1976թ., շարք Ա  թիվ  24, էջ 22, կետ 48)</w:t>
      </w:r>
      <w:r>
        <w:rPr>
          <w:rFonts w:ascii="Sylfaen" w:hAnsi="Sylfaen"/>
        </w:rPr>
        <w:t>:  Այստեղ նույնպես,</w:t>
      </w:r>
      <w:r w:rsidRPr="006E6C61">
        <w:rPr>
          <w:rFonts w:ascii="Sylfaen" w:hAnsi="Sylfaen"/>
        </w:rPr>
        <w:t xml:space="preserve"> ինչպես այլ որոտներում, որոնց վրա տարածվում են Կոնվենցիայի երաշխիքները, ազգային իշխանությունները  համապատասխանաբար վայելում են հայեցողության որոշակի սահմաններ: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Ավելին,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հանրային շահը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>բավականին լայն հասկացություն է:  Մասնավորապես, ինչպես նշել էր  Հանձնաժողովը, սեփականազրկման վերաբերյալ օրենքների ընդունումը սովորաբար կարող է հանգեցնել  քաղաքական, տնտեսական և սոցիալական խնդիրների վերանայման, որոնց վերաբերյալ կարծիքները ժողովրդավարական հասարակությունում կարող են բավականին տարբերվել:  Դատարանը, բնական համարելով այն փաստը, որը սոցիալական և տնտեսա</w:t>
      </w:r>
      <w:r>
        <w:rPr>
          <w:rFonts w:ascii="Sylfaen" w:hAnsi="Sylfaen"/>
        </w:rPr>
        <w:t xml:space="preserve">կան քաղաքականության իրականացման </w:t>
      </w:r>
      <w:r w:rsidRPr="006E6C61">
        <w:rPr>
          <w:rFonts w:ascii="Sylfaen" w:hAnsi="Sylfaen"/>
        </w:rPr>
        <w:t xml:space="preserve">համար օրենսդիրին տրամադրված հայեցողության սահմանները պետք է լայն լինեն,  հարգում  է օրենսդրի որոշումը հանրային շահի </w:t>
      </w:r>
      <w:r>
        <w:rPr>
          <w:rFonts w:ascii="Sylfaen" w:hAnsi="Sylfaen"/>
        </w:rPr>
        <w:t>վերաբերյալ, եթե այդ որոշումն</w:t>
      </w:r>
      <w:r w:rsidRPr="006E6C61">
        <w:rPr>
          <w:rFonts w:ascii="Sylfaen" w:hAnsi="Sylfaen"/>
        </w:rPr>
        <w:t xml:space="preserve"> ակնհայտորեն զուրկ չէ ողջամիտ հիմքից:  Այլ կերպ` Դատարանը չի կարող փոխարինել իր գնահատականը ազգային իշխանությունների գնահատակ</w:t>
      </w:r>
      <w:r>
        <w:rPr>
          <w:rFonts w:ascii="Sylfaen" w:hAnsi="Sylfaen"/>
        </w:rPr>
        <w:t>ան</w:t>
      </w:r>
      <w:r w:rsidRPr="006E6C61">
        <w:rPr>
          <w:rFonts w:ascii="Sylfaen" w:hAnsi="Sylfaen"/>
        </w:rPr>
        <w:t>ով, այն պարտավոր է ուսումնասիրել վիճարկվող միջոցառումները` համաձայն թիվ  1  Արձանագրության 1-ին հոդվածի  (Ա1-1)  և այսպիսով, հետազոտելով այն փաստերը, որոնք վերաբերում են ազգային իշխանությունների  գործողություններին</w:t>
      </w:r>
      <w:r>
        <w:rPr>
          <w:rFonts w:ascii="ArTarumianTimes" w:hAnsi="ArTarumianTimes"/>
        </w:rPr>
        <w:t>»</w:t>
      </w:r>
      <w:r w:rsidRPr="006E6C61">
        <w:rPr>
          <w:rFonts w:ascii="Sylfaen" w:hAnsi="Sylfaen"/>
        </w:rPr>
        <w:t xml:space="preserve">:  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Իրավունքների հորիզոնական կիրառում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 xml:space="preserve">Դրական պարտավորությունների ասպեկտներից մեկը կայանում է նրանում, որ այն պարտավորեցնում է պետությունների կարգավորել մասնավոր անձանց միջև հարաբերությունները, այսպիսով իրավունքները կարող են ունենալ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հորիզոնական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 xml:space="preserve">և ոչ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ուղղահայց</w:t>
      </w:r>
      <w:r>
        <w:rPr>
          <w:rFonts w:ascii="ArTarumianTimes" w:hAnsi="ArTarumianTimes"/>
        </w:rPr>
        <w:t>»</w:t>
      </w:r>
      <w:r w:rsidRPr="006E6C61">
        <w:rPr>
          <w:rFonts w:ascii="Sylfaen" w:hAnsi="Sylfaen"/>
        </w:rPr>
        <w:t xml:space="preserve"> ազդեցություն: </w:t>
      </w:r>
    </w:p>
    <w:p w:rsidR="006E45A8" w:rsidRPr="006E6C61" w:rsidRDefault="006E45A8" w:rsidP="006E45A8">
      <w:pPr>
        <w:pStyle w:val="HELPTitles2"/>
        <w:spacing w:before="0" w:after="200"/>
        <w:rPr>
          <w:rFonts w:ascii="Sylfaen" w:hAnsi="Sylfaen"/>
          <w:sz w:val="24"/>
        </w:rPr>
      </w:pPr>
      <w:r w:rsidRPr="006E6C61">
        <w:rPr>
          <w:rFonts w:ascii="Sylfaen" w:hAnsi="Sylfaen"/>
          <w:sz w:val="24"/>
        </w:rPr>
        <w:t xml:space="preserve">Կողմերի հավասարություն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6-րդ հոդվածի չձևակերպված ամենակարևոր սկզբուն</w:t>
      </w:r>
      <w:r>
        <w:rPr>
          <w:rFonts w:ascii="Sylfaen" w:hAnsi="Sylfaen"/>
        </w:rPr>
        <w:t>ք</w:t>
      </w:r>
      <w:r w:rsidRPr="006E6C61">
        <w:rPr>
          <w:rFonts w:ascii="Sylfaen" w:hAnsi="Sylfaen"/>
        </w:rPr>
        <w:t xml:space="preserve">ը </w:t>
      </w:r>
      <w:r>
        <w:rPr>
          <w:rFonts w:ascii="ArTarumianTimes" w:hAnsi="ArTarumianTimes"/>
        </w:rPr>
        <w:t>«</w:t>
      </w:r>
      <w:r w:rsidRPr="006E6C61">
        <w:rPr>
          <w:rFonts w:ascii="Sylfaen" w:hAnsi="Sylfaen"/>
        </w:rPr>
        <w:t>կողմերի հավասարությունն</w:t>
      </w:r>
      <w:r>
        <w:rPr>
          <w:rFonts w:ascii="ArTarumianTimes" w:hAnsi="ArTarumianTimes"/>
        </w:rPr>
        <w:t>»</w:t>
      </w:r>
      <w:r w:rsidRPr="006E6C61">
        <w:rPr>
          <w:rFonts w:ascii="ArTarumianTimes" w:hAnsi="ArTarumianTimes"/>
        </w:rPr>
        <w:t xml:space="preserve"> </w:t>
      </w:r>
      <w:r w:rsidRPr="006E6C61">
        <w:rPr>
          <w:rFonts w:ascii="Sylfaen" w:hAnsi="Sylfaen"/>
        </w:rPr>
        <w:t>է, այսինքն</w:t>
      </w:r>
      <w:r>
        <w:rPr>
          <w:rFonts w:ascii="Sylfaen" w:hAnsi="Sylfaen"/>
        </w:rPr>
        <w:t>`</w:t>
      </w:r>
      <w:r w:rsidRPr="006E6C61">
        <w:rPr>
          <w:rFonts w:ascii="Sylfaen" w:hAnsi="Sylfaen"/>
        </w:rPr>
        <w:t xml:space="preserve"> դատավարության յուրաքանչյուր կողմ պետք է </w:t>
      </w:r>
      <w:r w:rsidRPr="006E6C61">
        <w:rPr>
          <w:rFonts w:ascii="Sylfaen" w:hAnsi="Sylfaen"/>
        </w:rPr>
        <w:lastRenderedPageBreak/>
        <w:t>ունենա հավասար հնարավորություններ իր գործը ներկայացնելու համար (</w:t>
      </w:r>
      <w:r w:rsidRPr="006E6C61">
        <w:rPr>
          <w:rFonts w:ascii="Sylfaen" w:hAnsi="Sylfaen"/>
          <w:i/>
        </w:rPr>
        <w:t xml:space="preserve">Նյումեյտերն ընդդեմ Ավստրիայի </w:t>
      </w:r>
      <w:r w:rsidRPr="006E6C61">
        <w:rPr>
          <w:rFonts w:ascii="ArTarumianTimes" w:hAnsi="ArTarumianTimes"/>
          <w:i/>
        </w:rPr>
        <w:t>[</w:t>
      </w:r>
      <w:hyperlink r:id="rId18" w:history="1">
        <w:r w:rsidRPr="006E6C61">
          <w:rPr>
            <w:rStyle w:val="Hyperlink"/>
            <w:rFonts w:ascii="Sylfaen" w:hAnsi="Sylfaen"/>
            <w:i/>
            <w:iCs/>
          </w:rPr>
          <w:t>Neumeister v. Austria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>(1968)),  և  ի</w:t>
      </w:r>
      <w:r>
        <w:rPr>
          <w:rFonts w:ascii="Sylfaen" w:hAnsi="Sylfaen"/>
        </w:rPr>
        <w:t xml:space="preserve">ր հակառակորդի նկատմամբ չպետք է </w:t>
      </w:r>
      <w:r w:rsidRPr="006E6C61">
        <w:rPr>
          <w:rFonts w:ascii="Sylfaen" w:hAnsi="Sylfaen"/>
        </w:rPr>
        <w:t>ունենա որևէ էական առավելություն:  Կողմերի հավասարության սկզբունքը պարփակում է այն հասկացությո</w:t>
      </w:r>
      <w:r>
        <w:rPr>
          <w:rFonts w:ascii="Sylfaen" w:hAnsi="Sylfaen"/>
        </w:rPr>
        <w:t>ւնը,</w:t>
      </w:r>
      <w:r w:rsidRPr="006E6C61">
        <w:rPr>
          <w:rFonts w:ascii="Sylfaen" w:hAnsi="Sylfaen"/>
        </w:rPr>
        <w:t xml:space="preserve"> ըստ որի  դատավարության երկու կողմերն էլ   իրավունք ունեն տեղեկություններ ունենալ հակառակ կողմի փաստերի և հիմնավորումների  վերաբերյալ և յուրաքանչյուր կողմ պետք է</w:t>
      </w:r>
      <w:r>
        <w:rPr>
          <w:rFonts w:ascii="Sylfaen" w:hAnsi="Sylfaen"/>
        </w:rPr>
        <w:t xml:space="preserve"> հավասար հնարավորություն ունենա</w:t>
      </w:r>
      <w:r w:rsidRPr="006E6C61">
        <w:rPr>
          <w:rFonts w:ascii="Sylfaen" w:hAnsi="Sylfaen"/>
        </w:rPr>
        <w:t xml:space="preserve"> մյուս կող</w:t>
      </w:r>
      <w:r>
        <w:rPr>
          <w:rFonts w:ascii="Sylfaen" w:hAnsi="Sylfaen"/>
        </w:rPr>
        <w:t>մին պատասխանելու համար: Դատարանն</w:t>
      </w:r>
      <w:r w:rsidRPr="006E6C61">
        <w:rPr>
          <w:rFonts w:ascii="Sylfaen" w:hAnsi="Sylfaen"/>
        </w:rPr>
        <w:t xml:space="preserve">  այս սկզբունքի խախտում է արձանագրել, երբ ներպետական դատարանը իր վճիռը հիմնել է այնպիսի փաստարկների վրա, որոնց վերաբերյալ կողմերից մեկը տեղեկություններ չի ունեցել (</w:t>
      </w:r>
      <w:r w:rsidRPr="006E6C61">
        <w:rPr>
          <w:rFonts w:ascii="Sylfaen" w:hAnsi="Sylfaen"/>
          <w:i/>
        </w:rPr>
        <w:t xml:space="preserve">Սլիման-Կաիդն ընդդեմ Ֆրանսիայի </w:t>
      </w:r>
      <w:r w:rsidRPr="006E6C61">
        <w:rPr>
          <w:rFonts w:ascii="ArTarumianTimes" w:hAnsi="ArTarumianTimes"/>
          <w:i/>
        </w:rPr>
        <w:t>[</w:t>
      </w:r>
      <w:hyperlink r:id="rId19" w:history="1">
        <w:r w:rsidRPr="006E6C61">
          <w:rPr>
            <w:rStyle w:val="Hyperlink"/>
            <w:rFonts w:ascii="Sylfaen" w:hAnsi="Sylfaen"/>
            <w:i/>
            <w:iCs/>
          </w:rPr>
          <w:t>Slimane-Kaïd v. France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(2000), </w:t>
      </w:r>
      <w:r w:rsidRPr="006E6C61">
        <w:rPr>
          <w:rFonts w:ascii="Sylfaen" w:hAnsi="Sylfaen"/>
          <w:i/>
        </w:rPr>
        <w:t>Մակջին ընդդեմ Ֆրանսիայի</w:t>
      </w:r>
      <w:r w:rsidRPr="006E6C61">
        <w:rPr>
          <w:rFonts w:ascii="Sylfaen" w:hAnsi="Sylfaen"/>
        </w:rPr>
        <w:t xml:space="preserve"> </w:t>
      </w:r>
      <w:r w:rsidRPr="006E6C61">
        <w:rPr>
          <w:rFonts w:ascii="ArTarumianTimes" w:hAnsi="ArTarumianTimes"/>
        </w:rPr>
        <w:t>[</w:t>
      </w:r>
      <w:hyperlink r:id="rId20" w:history="1">
        <w:r w:rsidRPr="006E6C61">
          <w:rPr>
            <w:rStyle w:val="Hyperlink"/>
            <w:rFonts w:ascii="Sylfaen" w:hAnsi="Sylfaen"/>
            <w:i/>
            <w:iCs/>
          </w:rPr>
          <w:t>MacGee v. France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(2003), Կրչ մարը և մյուսներն ընդդեմ Չեխիայի </w:t>
      </w:r>
      <w:r w:rsidRPr="006E6C61">
        <w:rPr>
          <w:rFonts w:ascii="ArTarumianTimes" w:hAnsi="ArTarumianTimes"/>
        </w:rPr>
        <w:t>[</w:t>
      </w:r>
      <w:r w:rsidRPr="006E6C61">
        <w:rPr>
          <w:rFonts w:ascii="Sylfaen" w:hAnsi="Sylfaen"/>
          <w:i/>
          <w:iCs/>
        </w:rPr>
        <w:t>Krcˇmárˇ and Others v. the Czech Republic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(2000), </w:t>
      </w:r>
      <w:r w:rsidRPr="006E6C61">
        <w:rPr>
          <w:rFonts w:ascii="Sylfaen" w:hAnsi="Sylfaen"/>
          <w:i/>
        </w:rPr>
        <w:t xml:space="preserve">Ֆորտում կորպորացիան ընդեմ Ֆինլանդիայի </w:t>
      </w:r>
      <w:r w:rsidRPr="006E6C61">
        <w:rPr>
          <w:rFonts w:ascii="ArTarumianTimes" w:hAnsi="ArTarumianTimes"/>
          <w:i/>
        </w:rPr>
        <w:t>[</w:t>
      </w:r>
      <w:hyperlink r:id="rId21" w:history="1">
        <w:r w:rsidRPr="006E6C61">
          <w:rPr>
            <w:rStyle w:val="Hyperlink"/>
            <w:rFonts w:ascii="Sylfaen" w:hAnsi="Sylfaen"/>
            <w:i/>
            <w:iCs/>
          </w:rPr>
          <w:t>Fortum Corporation v. Finland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(2003), </w:t>
      </w:r>
      <w:r w:rsidRPr="006E6C61">
        <w:rPr>
          <w:rFonts w:ascii="Sylfaen" w:hAnsi="Sylfaen"/>
          <w:i/>
        </w:rPr>
        <w:t xml:space="preserve"> Հարկային հետապնդումների դեմ ասոցացիան ընդդեմ Հունգարիայի </w:t>
      </w:r>
      <w:r w:rsidRPr="006E6C61">
        <w:rPr>
          <w:rFonts w:ascii="ArTarumianTimes" w:hAnsi="ArTarumianTimes"/>
          <w:i/>
        </w:rPr>
        <w:t>[</w:t>
      </w:r>
      <w:hyperlink r:id="rId22" w:history="1">
        <w:r w:rsidRPr="006E6C61">
          <w:rPr>
            <w:rStyle w:val="Hyperlink"/>
            <w:rFonts w:ascii="Sylfaen" w:hAnsi="Sylfaen"/>
            <w:i/>
            <w:iCs/>
          </w:rPr>
          <w:t>APEH Üldözötteinek Szövetsége and Others v. Hungary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(2000)  և </w:t>
      </w:r>
      <w:r w:rsidRPr="006E6C61">
        <w:rPr>
          <w:rFonts w:ascii="Sylfaen" w:hAnsi="Sylfaen"/>
          <w:i/>
        </w:rPr>
        <w:t>Վալստոնն ընդդեմ Նորվեգիայի</w:t>
      </w:r>
      <w:r w:rsidRPr="006E6C61">
        <w:rPr>
          <w:rFonts w:ascii="Sylfaen" w:hAnsi="Sylfaen"/>
        </w:rPr>
        <w:t xml:space="preserve"> </w:t>
      </w:r>
      <w:r w:rsidRPr="006E6C61">
        <w:rPr>
          <w:rFonts w:ascii="ArTarumianTimes" w:hAnsi="ArTarumianTimes"/>
        </w:rPr>
        <w:t>[</w:t>
      </w:r>
      <w:hyperlink r:id="rId23" w:history="1">
        <w:r w:rsidRPr="006E6C61">
          <w:rPr>
            <w:rStyle w:val="Hyperlink"/>
            <w:rFonts w:ascii="Sylfaen" w:hAnsi="Sylfaen"/>
            <w:i/>
            <w:iCs/>
          </w:rPr>
          <w:t>Walston v. Norway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>(2003)), կամ կողմերից մեկը հրաժարվել է  տրամադրել գործում ներգրավված համապատասխան փաստաթղթերը (</w:t>
      </w:r>
      <w:r w:rsidRPr="006E6C61">
        <w:rPr>
          <w:rFonts w:ascii="Sylfaen" w:hAnsi="Sylfaen"/>
          <w:i/>
        </w:rPr>
        <w:t xml:space="preserve">Կերոյարվին ընդդեմ Ֆինլանդիայի </w:t>
      </w:r>
      <w:r w:rsidRPr="006E6C61">
        <w:rPr>
          <w:rFonts w:ascii="ArTarumianTimes" w:hAnsi="ArTarumianTimes"/>
          <w:i/>
        </w:rPr>
        <w:t>[</w:t>
      </w:r>
      <w:hyperlink r:id="rId24" w:history="1">
        <w:r w:rsidRPr="006E6C61">
          <w:rPr>
            <w:rStyle w:val="Hyperlink"/>
            <w:rFonts w:ascii="Sylfaen" w:hAnsi="Sylfaen"/>
            <w:i/>
            <w:iCs/>
          </w:rPr>
          <w:t>Kerojärvi v. Finland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(1995), </w:t>
      </w:r>
      <w:r w:rsidRPr="006E6C61">
        <w:rPr>
          <w:rFonts w:ascii="Sylfaen" w:hAnsi="Sylfaen"/>
          <w:i/>
        </w:rPr>
        <w:t xml:space="preserve">Մակմայքլն ընդդեմ Մեծ Բրիտանիայի </w:t>
      </w:r>
      <w:r w:rsidRPr="006E6C61">
        <w:rPr>
          <w:rFonts w:ascii="ArTarumianTimes" w:hAnsi="ArTarumianTimes"/>
          <w:i/>
        </w:rPr>
        <w:t>[</w:t>
      </w:r>
      <w:hyperlink r:id="rId25" w:history="1">
        <w:r w:rsidRPr="006E6C61">
          <w:rPr>
            <w:rStyle w:val="Hyperlink"/>
            <w:rFonts w:ascii="Sylfaen" w:hAnsi="Sylfaen"/>
            <w:i/>
            <w:iCs/>
          </w:rPr>
          <w:t>McMichael v. the United Kingdom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(1995) և </w:t>
      </w:r>
      <w:r w:rsidRPr="006E6C61">
        <w:rPr>
          <w:rFonts w:ascii="Sylfaen" w:hAnsi="Sylfaen"/>
          <w:i/>
        </w:rPr>
        <w:t>Ֆուշեն ընդդեմ Ֆրանսիայի</w:t>
      </w:r>
      <w:r w:rsidRPr="006E6C61">
        <w:rPr>
          <w:rFonts w:ascii="Sylfaen" w:hAnsi="Sylfaen"/>
        </w:rPr>
        <w:t xml:space="preserve"> </w:t>
      </w:r>
      <w:r w:rsidRPr="006E6C61">
        <w:rPr>
          <w:rFonts w:ascii="ArTarumianTimes" w:hAnsi="ArTarumianTimes"/>
        </w:rPr>
        <w:t>[</w:t>
      </w:r>
      <w:hyperlink r:id="rId26" w:history="1">
        <w:r w:rsidRPr="006E6C61">
          <w:rPr>
            <w:rStyle w:val="Hyperlink"/>
            <w:rFonts w:ascii="Sylfaen" w:hAnsi="Sylfaen"/>
            <w:i/>
            <w:iCs/>
          </w:rPr>
          <w:t>Foucher v. France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(1997)) կամ մերժել են ընդունել որոշակի ապացույցի ներկայացման իրավունքը ( </w:t>
      </w:r>
      <w:r w:rsidRPr="006E6C61">
        <w:rPr>
          <w:rFonts w:ascii="Sylfaen" w:hAnsi="Sylfaen"/>
          <w:i/>
        </w:rPr>
        <w:t xml:space="preserve">Դե Հաեսը և Ժիզելսն ընդդեմ Բելգիայի </w:t>
      </w:r>
      <w:r w:rsidRPr="006E6C61">
        <w:rPr>
          <w:rFonts w:ascii="ArTarumianTimes" w:hAnsi="ArTarumianTimes"/>
          <w:i/>
        </w:rPr>
        <w:t>[</w:t>
      </w:r>
      <w:hyperlink r:id="rId27" w:history="1">
        <w:r w:rsidRPr="006E6C61">
          <w:rPr>
            <w:rStyle w:val="Hyperlink"/>
            <w:rFonts w:ascii="Sylfaen" w:hAnsi="Sylfaen"/>
            <w:i/>
            <w:iCs/>
          </w:rPr>
          <w:t>De Haes and Gijsels v. Belgium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(1997) և </w:t>
      </w:r>
      <w:r w:rsidRPr="006E6C61">
        <w:rPr>
          <w:rFonts w:ascii="Sylfaen" w:hAnsi="Sylfaen"/>
          <w:i/>
        </w:rPr>
        <w:t xml:space="preserve">Մանտովանելին ընդդեմ Ֆրանսիայի </w:t>
      </w:r>
      <w:r w:rsidRPr="006E6C61">
        <w:rPr>
          <w:rFonts w:ascii="ArTarumianTimes" w:hAnsi="ArTarumianTimes"/>
          <w:i/>
        </w:rPr>
        <w:t>[</w:t>
      </w:r>
      <w:hyperlink r:id="rId28" w:history="1">
        <w:r w:rsidRPr="006E6C61">
          <w:rPr>
            <w:rStyle w:val="Hyperlink"/>
            <w:rFonts w:ascii="Sylfaen" w:hAnsi="Sylfaen"/>
            <w:i/>
            <w:iCs/>
          </w:rPr>
          <w:t>Mantovanelli v. France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>(1997)), այդ թվում նաև` փորձագետների վկայությունները (</w:t>
      </w:r>
      <w:r w:rsidRPr="006E6C61">
        <w:rPr>
          <w:rFonts w:ascii="Sylfaen" w:hAnsi="Sylfaen"/>
          <w:i/>
        </w:rPr>
        <w:t xml:space="preserve">Բյոնիշն ընդդեմ Ավստրիայի </w:t>
      </w:r>
      <w:r w:rsidRPr="006E6C61">
        <w:rPr>
          <w:rFonts w:ascii="ArTarumianTimes" w:hAnsi="ArTarumianTimes"/>
          <w:i/>
        </w:rPr>
        <w:t>[</w:t>
      </w:r>
      <w:hyperlink r:id="rId29" w:history="1">
        <w:r w:rsidRPr="006E6C61">
          <w:rPr>
            <w:rStyle w:val="Hyperlink"/>
            <w:rFonts w:ascii="Sylfaen" w:hAnsi="Sylfaen"/>
            <w:i/>
            <w:iCs/>
          </w:rPr>
          <w:t>Bönisch v. Austria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>(1985)) կամ դատարաններն ուսումնասիրել են միայն մեկ կողմի փաստարկները  (</w:t>
      </w:r>
      <w:r w:rsidRPr="006E6C61">
        <w:rPr>
          <w:rFonts w:ascii="Sylfaen" w:hAnsi="Sylfaen"/>
          <w:i/>
        </w:rPr>
        <w:t xml:space="preserve">Հիրո Բալանին ընդդեմ Իսպանիայի </w:t>
      </w:r>
      <w:r w:rsidRPr="006E6C61">
        <w:rPr>
          <w:rFonts w:ascii="ArTarumianTimes" w:hAnsi="ArTarumianTimes"/>
          <w:i/>
        </w:rPr>
        <w:t>[</w:t>
      </w:r>
      <w:hyperlink r:id="rId30" w:history="1">
        <w:r w:rsidRPr="006E6C61">
          <w:rPr>
            <w:rStyle w:val="Hyperlink"/>
            <w:rFonts w:ascii="Sylfaen" w:hAnsi="Sylfaen"/>
            <w:i/>
            <w:iCs/>
          </w:rPr>
          <w:t>Hiro Balani v. Spain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(1994), </w:t>
      </w:r>
      <w:r w:rsidRPr="006E6C61">
        <w:rPr>
          <w:rFonts w:ascii="Sylfaen" w:hAnsi="Sylfaen"/>
          <w:i/>
        </w:rPr>
        <w:t xml:space="preserve">Ռուիզ Տորիխան ընդդեմ Իսպանիայի </w:t>
      </w:r>
      <w:r w:rsidRPr="006E6C61">
        <w:rPr>
          <w:rFonts w:ascii="ArTarumianTimes" w:hAnsi="ArTarumianTimes"/>
          <w:i/>
        </w:rPr>
        <w:t>[</w:t>
      </w:r>
      <w:hyperlink r:id="rId31" w:history="1">
        <w:r w:rsidRPr="006E6C61">
          <w:rPr>
            <w:rStyle w:val="Hyperlink"/>
            <w:rFonts w:ascii="Sylfaen" w:hAnsi="Sylfaen"/>
            <w:i/>
            <w:iCs/>
          </w:rPr>
          <w:t>Ruiz Torija v. Spain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(1994), </w:t>
      </w:r>
      <w:r w:rsidRPr="006E6C61">
        <w:rPr>
          <w:rFonts w:ascii="Sylfaen" w:hAnsi="Sylfaen"/>
          <w:i/>
        </w:rPr>
        <w:t xml:space="preserve">Վան Օրսհովենն ընդդեմ Բելգիայի </w:t>
      </w:r>
      <w:r w:rsidRPr="006E6C61">
        <w:rPr>
          <w:rFonts w:ascii="ArTarumianTimes" w:hAnsi="ArTarumianTimes"/>
          <w:i/>
        </w:rPr>
        <w:t>[</w:t>
      </w:r>
      <w:hyperlink r:id="rId32" w:history="1">
        <w:r w:rsidRPr="006E6C61">
          <w:rPr>
            <w:rStyle w:val="Hyperlink"/>
            <w:rFonts w:ascii="Sylfaen" w:hAnsi="Sylfaen"/>
            <w:i/>
            <w:iCs/>
          </w:rPr>
          <w:t>Van Orshoven v. Belgium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(1997), </w:t>
      </w:r>
      <w:r w:rsidRPr="006E6C61">
        <w:rPr>
          <w:rFonts w:ascii="Sylfaen" w:hAnsi="Sylfaen"/>
          <w:i/>
        </w:rPr>
        <w:t xml:space="preserve">Քվադրելին ընդդեմ Իտալիայի </w:t>
      </w:r>
      <w:r w:rsidRPr="006E6C61">
        <w:rPr>
          <w:rFonts w:ascii="ArTarumianTimes" w:hAnsi="ArTarumianTimes"/>
          <w:i/>
        </w:rPr>
        <w:t>[</w:t>
      </w:r>
      <w:hyperlink r:id="rId33" w:history="1">
        <w:r w:rsidRPr="006E6C61">
          <w:rPr>
            <w:rStyle w:val="Hyperlink"/>
            <w:rFonts w:ascii="Sylfaen" w:hAnsi="Sylfaen"/>
            <w:i/>
            <w:iCs/>
          </w:rPr>
          <w:t>Quadrelli v. Italy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(2000) և </w:t>
      </w:r>
      <w:r w:rsidRPr="006E6C61">
        <w:rPr>
          <w:rFonts w:ascii="Sylfaen" w:hAnsi="Sylfaen"/>
          <w:i/>
        </w:rPr>
        <w:t>Կիգանն ընդդեմ Իռլանդիայի</w:t>
      </w:r>
      <w:r w:rsidRPr="006E6C61">
        <w:rPr>
          <w:rFonts w:ascii="Sylfaen" w:hAnsi="Sylfaen"/>
        </w:rPr>
        <w:t xml:space="preserve"> </w:t>
      </w:r>
      <w:r w:rsidRPr="006E6C61">
        <w:rPr>
          <w:rFonts w:ascii="ArTarumianTimes" w:hAnsi="ArTarumianTimes"/>
        </w:rPr>
        <w:t>[</w:t>
      </w:r>
      <w:hyperlink r:id="rId34" w:history="1">
        <w:r w:rsidRPr="006E6C61">
          <w:rPr>
            <w:rStyle w:val="Hyperlink"/>
            <w:rFonts w:ascii="Sylfaen" w:hAnsi="Sylfaen"/>
            <w:i/>
            <w:iCs/>
          </w:rPr>
          <w:t>Keegan v. Ireland</w:t>
        </w:r>
      </w:hyperlink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>(1994)) կամ կողմը տեղեկացված չի եղել իր դեմ դատավարության համապատասխան ամսաթվերի մասին (</w:t>
      </w:r>
      <w:r w:rsidRPr="006E6C61">
        <w:rPr>
          <w:rFonts w:ascii="Sylfaen" w:hAnsi="Sylfaen"/>
          <w:i/>
        </w:rPr>
        <w:t xml:space="preserve">Վաշեն ընդդեմ Ֆրանսիայի </w:t>
      </w:r>
      <w:r w:rsidRPr="006E6C61">
        <w:rPr>
          <w:rFonts w:ascii="ArTarumianTimes" w:hAnsi="ArTarumianTimes"/>
          <w:i/>
        </w:rPr>
        <w:t>[</w:t>
      </w:r>
      <w:hyperlink r:id="rId35" w:history="1">
        <w:r w:rsidRPr="006E6C61">
          <w:rPr>
            <w:rStyle w:val="Hyperlink"/>
            <w:rFonts w:ascii="Sylfaen" w:hAnsi="Sylfaen"/>
            <w:i/>
            <w:iCs/>
          </w:rPr>
          <w:t>Vacher v. France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lastRenderedPageBreak/>
        <w:t xml:space="preserve">(1996), </w:t>
      </w:r>
      <w:r w:rsidRPr="006E6C61">
        <w:rPr>
          <w:rFonts w:ascii="Sylfaen" w:hAnsi="Sylfaen"/>
          <w:i/>
        </w:rPr>
        <w:t xml:space="preserve">Կ.Դ.Բ.-ն ընդդեմ Նիդերլանդների </w:t>
      </w:r>
      <w:r w:rsidRPr="006E6C61">
        <w:rPr>
          <w:rFonts w:ascii="ArTarumianTimes" w:hAnsi="ArTarumianTimes"/>
          <w:i/>
        </w:rPr>
        <w:t>[</w:t>
      </w:r>
      <w:hyperlink r:id="rId36" w:history="1">
        <w:r w:rsidRPr="006E6C61">
          <w:rPr>
            <w:rStyle w:val="Hyperlink"/>
            <w:rFonts w:ascii="Sylfaen" w:hAnsi="Sylfaen"/>
            <w:i/>
            <w:iCs/>
          </w:rPr>
          <w:t>K.D.B. v. the Netherlands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(1998) և </w:t>
      </w:r>
      <w:hyperlink r:id="rId37" w:history="1">
        <w:r w:rsidRPr="006E6C61">
          <w:rPr>
            <w:rStyle w:val="Hyperlink"/>
            <w:rFonts w:ascii="Sylfaen" w:hAnsi="Sylfaen"/>
            <w:i/>
            <w:iCs/>
          </w:rPr>
          <w:t>http://hudoc.echr.coe.int/sites/eng/pages/search.aspx?i=001-60168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(2002)).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Քրեական հետապնդում իրականացնող մարմիններն իրենց դրական պարտավորությունների շրջանակներում պետք է արժեքավոր ապացույցների վերաբերյալ պաշտպանությանը տեղեկացնե</w:t>
      </w:r>
      <w:r>
        <w:rPr>
          <w:rFonts w:ascii="Sylfaen" w:hAnsi="Sylfaen"/>
        </w:rPr>
        <w:t>ն</w:t>
      </w:r>
      <w:r w:rsidRPr="006E6C61">
        <w:rPr>
          <w:rFonts w:ascii="Sylfaen" w:hAnsi="Sylfaen"/>
        </w:rPr>
        <w:t xml:space="preserve"> ժամանակին և արդյունավետ կերպով (</w:t>
      </w:r>
      <w:r w:rsidRPr="006E6C61">
        <w:rPr>
          <w:rFonts w:ascii="Sylfaen" w:hAnsi="Sylfaen"/>
          <w:i/>
        </w:rPr>
        <w:t xml:space="preserve">Կուոպիլան ընդդեմ Ֆինլանդիայի </w:t>
      </w:r>
      <w:r w:rsidRPr="006E6C61">
        <w:rPr>
          <w:rFonts w:ascii="ArTarumianTimes" w:hAnsi="ArTarumianTimes"/>
          <w:i/>
        </w:rPr>
        <w:t>[</w:t>
      </w:r>
      <w:hyperlink r:id="rId38" w:history="1">
        <w:r w:rsidRPr="006E6C61">
          <w:rPr>
            <w:rStyle w:val="Hyperlink"/>
            <w:rFonts w:ascii="Sylfaen" w:hAnsi="Sylfaen"/>
            <w:i/>
            <w:iCs/>
          </w:rPr>
          <w:t>Kuopila v. Finland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(2000)  և </w:t>
      </w:r>
      <w:r w:rsidRPr="006E6C61">
        <w:rPr>
          <w:rFonts w:ascii="Sylfaen" w:hAnsi="Sylfaen"/>
          <w:i/>
        </w:rPr>
        <w:t xml:space="preserve"> Դոուսեթն ընդդեմ Մեծ Բրիտանիայի </w:t>
      </w:r>
      <w:r w:rsidRPr="006E6C61">
        <w:rPr>
          <w:rFonts w:ascii="ArTarumianTimes" w:hAnsi="ArTarumianTimes"/>
          <w:i/>
        </w:rPr>
        <w:t>[</w:t>
      </w:r>
      <w:hyperlink r:id="rId39" w:history="1">
        <w:r w:rsidRPr="006E6C61">
          <w:rPr>
            <w:rStyle w:val="Hyperlink"/>
            <w:rFonts w:ascii="Sylfaen" w:hAnsi="Sylfaen"/>
            <w:i/>
            <w:iCs/>
          </w:rPr>
          <w:t>Dowsett v. the United Kingdom</w:t>
        </w:r>
      </w:hyperlink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>(2003)): Դատարանի խորհրդակցության ընթացքում կառավարության ներկայացուցչի ներկայությունը կարող է անհարկի ազդել վարույթի վրա (</w:t>
      </w:r>
      <w:r w:rsidRPr="006E6C61">
        <w:rPr>
          <w:rFonts w:ascii="Sylfaen" w:hAnsi="Sylfaen"/>
          <w:i/>
        </w:rPr>
        <w:t xml:space="preserve">ԱՊԲՊ-ն ընդդեմ Ֆրանսիայի </w:t>
      </w:r>
      <w:r w:rsidRPr="006E6C61">
        <w:rPr>
          <w:rFonts w:ascii="ArTarumianTimes" w:hAnsi="ArTarumianTimes"/>
          <w:i/>
        </w:rPr>
        <w:t>[</w:t>
      </w:r>
      <w:hyperlink r:id="rId40" w:history="1">
        <w:r w:rsidRPr="006E6C61">
          <w:rPr>
            <w:rStyle w:val="Hyperlink"/>
            <w:rFonts w:ascii="Sylfaen" w:hAnsi="Sylfaen"/>
            <w:i/>
            <w:iCs/>
          </w:rPr>
          <w:t>APBP v. France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>(2002)).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  <w:i/>
        </w:rPr>
        <w:t xml:space="preserve">Կոլոցան ընդդեմ Իտալիայի </w:t>
      </w:r>
      <w:r w:rsidRPr="006E6C61">
        <w:rPr>
          <w:rFonts w:ascii="ArTarumianTimes" w:hAnsi="ArTarumianTimes"/>
          <w:i/>
        </w:rPr>
        <w:t>[</w:t>
      </w:r>
      <w:hyperlink r:id="rId41" w:history="1">
        <w:r w:rsidRPr="006E6C61">
          <w:rPr>
            <w:rStyle w:val="Hyperlink"/>
            <w:rFonts w:ascii="Sylfaen" w:hAnsi="Sylfaen"/>
            <w:i/>
            <w:iCs/>
          </w:rPr>
          <w:t>Colozza v. Italy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(1985), </w:t>
      </w:r>
      <w:r w:rsidRPr="006E6C61">
        <w:rPr>
          <w:rFonts w:ascii="Sylfaen" w:hAnsi="Sylfaen"/>
          <w:i/>
        </w:rPr>
        <w:t xml:space="preserve">Մոնելը և Մորիսն ընդդեմ Մեծ Բրիտանիայի </w:t>
      </w:r>
      <w:r w:rsidRPr="006E6C61">
        <w:rPr>
          <w:rFonts w:ascii="ArTarumianTimes" w:hAnsi="ArTarumianTimes"/>
          <w:i/>
        </w:rPr>
        <w:t>[</w:t>
      </w:r>
      <w:hyperlink r:id="rId42" w:history="1">
        <w:r w:rsidRPr="006E6C61">
          <w:rPr>
            <w:rStyle w:val="Hyperlink"/>
            <w:rFonts w:ascii="Sylfaen" w:hAnsi="Sylfaen"/>
            <w:i/>
            <w:iCs/>
          </w:rPr>
          <w:t>Monnell and Morris v. the United Kingdom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(1987), </w:t>
      </w:r>
      <w:r w:rsidRPr="006E6C61">
        <w:rPr>
          <w:rFonts w:ascii="Sylfaen" w:hAnsi="Sylfaen"/>
          <w:i/>
        </w:rPr>
        <w:t xml:space="preserve">Բոթենն ընդդեմ Նորվեգիայի </w:t>
      </w:r>
      <w:r w:rsidRPr="006E6C61">
        <w:rPr>
          <w:rFonts w:ascii="ArTarumianTimes" w:hAnsi="ArTarumianTimes"/>
          <w:i/>
        </w:rPr>
        <w:t>[</w:t>
      </w:r>
      <w:hyperlink r:id="rId43" w:history="1">
        <w:r w:rsidRPr="006E6C61">
          <w:rPr>
            <w:rStyle w:val="Hyperlink"/>
            <w:rFonts w:ascii="Sylfaen" w:hAnsi="Sylfaen"/>
            <w:i/>
            <w:iCs/>
          </w:rPr>
          <w:t>Botten v. Norway</w:t>
        </w:r>
      </w:hyperlink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</w:rPr>
        <w:t xml:space="preserve">(1996) և  </w:t>
      </w:r>
      <w:r w:rsidRPr="006E6C61">
        <w:rPr>
          <w:rFonts w:ascii="Sylfaen" w:hAnsi="Sylfaen"/>
          <w:i/>
        </w:rPr>
        <w:t xml:space="preserve"> Լոբո Մախադոն ընդդեմ Պորտուգալի </w:t>
      </w:r>
      <w:r w:rsidRPr="006E6C61">
        <w:rPr>
          <w:rFonts w:ascii="ArTarumianTimes" w:hAnsi="ArTarumianTimes"/>
          <w:i/>
        </w:rPr>
        <w:t>[</w:t>
      </w:r>
      <w:hyperlink r:id="rId44" w:history="1">
        <w:r w:rsidRPr="006E6C61">
          <w:rPr>
            <w:rStyle w:val="Hyperlink"/>
            <w:rFonts w:ascii="Sylfaen" w:hAnsi="Sylfaen"/>
            <w:i/>
            <w:iCs/>
          </w:rPr>
          <w:t>Lobo Machado v. Portugal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(1996) </w:t>
      </w:r>
      <w:r>
        <w:rPr>
          <w:rFonts w:ascii="Sylfaen" w:hAnsi="Sylfaen"/>
        </w:rPr>
        <w:t>գործերում Դատարանը</w:t>
      </w:r>
      <w:r w:rsidRPr="006E6C61">
        <w:rPr>
          <w:rFonts w:ascii="Sylfaen" w:hAnsi="Sylfaen"/>
        </w:rPr>
        <w:t xml:space="preserve"> որոշել է, որ շատ հանգամանքներում ամբաստանյալները պետք է ներկա լինեն և իրավունք ունենան մասնակցելու դատավարությանը: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t>Այն դեպքերում, երբ  գործը վերաբերվել է երեխաներին ծնողներից հեռացնելուն, ծնողակա</w:t>
      </w:r>
      <w:r>
        <w:rPr>
          <w:rFonts w:ascii="Sylfaen" w:hAnsi="Sylfaen"/>
        </w:rPr>
        <w:t>ն իրավունքների դադարեցմանը և այլ</w:t>
      </w:r>
      <w:r w:rsidRPr="006E6C61">
        <w:rPr>
          <w:rFonts w:ascii="Sylfaen" w:hAnsi="Sylfaen"/>
        </w:rPr>
        <w:t xml:space="preserve"> նմանատիպ խնդիրներին, որոնք առնչվում են ընտանեկան կյանքի իրավունքի հիմնարար հիմքին, Դատարանը խախտումներ է  արձանագրել այն համագամանքներում, որոնցում երեխան ծնվելուց հետո մի քանի ժամվա ընթացում հեռացվել է մորից և մեկ շաբաթ հետո ներկայացվել որդեգրման, առանց ծնողներին  իրավախորհրդատու</w:t>
      </w:r>
      <w:r>
        <w:rPr>
          <w:rFonts w:ascii="Sylfaen" w:hAnsi="Sylfaen"/>
        </w:rPr>
        <w:t>ի</w:t>
      </w:r>
      <w:r w:rsidRPr="006E6C61">
        <w:rPr>
          <w:rFonts w:ascii="Sylfaen" w:hAnsi="Sylfaen"/>
        </w:rPr>
        <w:t xml:space="preserve"> ծառայություններից օգտվելու և այս կարևոր հարցն իրավասու  դատական ատյանների ներկայացնելու </w:t>
      </w:r>
      <w:r>
        <w:rPr>
          <w:rFonts w:ascii="Sylfaen" w:hAnsi="Sylfaen"/>
        </w:rPr>
        <w:t>հնարավորության տրամադրման</w:t>
      </w:r>
      <w:r w:rsidRPr="006E6C61">
        <w:rPr>
          <w:rFonts w:ascii="Sylfaen" w:hAnsi="Sylfaen"/>
        </w:rPr>
        <w:t xml:space="preserve"> (Պ.Կ. և Ս.-ն ընդդեմ Մեծ Բրիտանիայի </w:t>
      </w:r>
      <w:r w:rsidRPr="006E6C61">
        <w:rPr>
          <w:rFonts w:ascii="ArTarumianTimes" w:hAnsi="ArTarumianTimes"/>
        </w:rPr>
        <w:t>[</w:t>
      </w:r>
      <w:r w:rsidRPr="006E6C61">
        <w:rPr>
          <w:rFonts w:ascii="Sylfaen" w:hAnsi="Sylfaen"/>
          <w:i/>
          <w:iCs/>
        </w:rPr>
        <w:t>P., C. and S. v. the United Kingdom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(2002)): Համանման հանգամանքներ առաջացել են նաև </w:t>
      </w:r>
      <w:r>
        <w:rPr>
          <w:rFonts w:ascii="Sylfaen" w:hAnsi="Sylfaen"/>
        </w:rPr>
        <w:t xml:space="preserve">ցածր տարիքի </w:t>
      </w:r>
      <w:r w:rsidRPr="006E6C61">
        <w:rPr>
          <w:rFonts w:ascii="Sylfaen" w:hAnsi="Sylfaen"/>
        </w:rPr>
        <w:t xml:space="preserve">երեխաների վերաբերյալ այլ գործերում (տե´ս, օրինակ` </w:t>
      </w:r>
      <w:r w:rsidRPr="006E6C61">
        <w:rPr>
          <w:rFonts w:ascii="Sylfaen" w:hAnsi="Sylfaen"/>
          <w:i/>
        </w:rPr>
        <w:t xml:space="preserve">Բուխբերգերն ընդդեմ Ավստրիայի </w:t>
      </w:r>
      <w:r w:rsidRPr="006E6C61">
        <w:rPr>
          <w:rFonts w:ascii="ArTarumianTimes" w:hAnsi="ArTarumianTimes"/>
          <w:i/>
        </w:rPr>
        <w:t>[</w:t>
      </w:r>
      <w:hyperlink r:id="rId45" w:history="1">
        <w:r w:rsidRPr="006E6C61">
          <w:rPr>
            <w:rStyle w:val="Hyperlink"/>
            <w:rFonts w:ascii="Sylfaen" w:hAnsi="Sylfaen"/>
            <w:i/>
            <w:iCs/>
          </w:rPr>
          <w:t>Buchberger v. Austria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(2001)  և Տ.Պ.-ն և Կ.Մ.-ն ընդդեմ Մեծ Բրիտանիայի  </w:t>
      </w:r>
      <w:r w:rsidRPr="006E6C61">
        <w:rPr>
          <w:rFonts w:ascii="ArTarumianTimes" w:hAnsi="ArTarumianTimes"/>
        </w:rPr>
        <w:t>[</w:t>
      </w:r>
      <w:hyperlink r:id="rId46" w:history="1">
        <w:r w:rsidRPr="006E6C61">
          <w:rPr>
            <w:rStyle w:val="Hyperlink"/>
            <w:rFonts w:ascii="Sylfaen" w:hAnsi="Sylfaen"/>
            <w:i/>
            <w:iCs/>
          </w:rPr>
          <w:t>T.P. and K.M. v. the United Kingdom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>(2001)):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</w:rPr>
      </w:pPr>
      <w:r w:rsidRPr="006E6C61">
        <w:rPr>
          <w:rFonts w:ascii="Sylfaen" w:hAnsi="Sylfaen"/>
        </w:rPr>
        <w:lastRenderedPageBreak/>
        <w:t>Անչափահասների ներգրավմամբ գործերի դեպքում, ի տարբերություն չափահասների գործերի, կարող են կիրառվել տարբեր մոտեցումներ կողմերի  հավասարության սկզբունքի հետ կապված: Օրինակ` Դատարանը 6-րդ հոդվածի խախտում է արձանագրել մի դեպքում, ուր պարզվել էր, որ երկու երեխաներ, որոնք մեղադրվում էին սպանության մեջ, տառապում էին  հետտրավմատիկ սթրեսի խանգարումով և ունեցել էին սահմանափակ ունակություններ իրենց փաստաբաններին ցուցումներ տալու, իրենց սեփական պաշտպանությունն ապահովելու կամ դատա</w:t>
      </w:r>
      <w:r>
        <w:rPr>
          <w:rFonts w:ascii="Sylfaen" w:hAnsi="Sylfaen"/>
        </w:rPr>
        <w:t>վա</w:t>
      </w:r>
      <w:r w:rsidRPr="006E6C61">
        <w:rPr>
          <w:rFonts w:ascii="Sylfaen" w:hAnsi="Sylfaen"/>
        </w:rPr>
        <w:t>րությանը լիարժեք մասնակցելու համար, որը  միաժամանակ հրապարակայնացված էր և հրապարակային (</w:t>
      </w:r>
      <w:r w:rsidRPr="006E6C61">
        <w:rPr>
          <w:rFonts w:ascii="Sylfaen" w:hAnsi="Sylfaen"/>
          <w:i/>
        </w:rPr>
        <w:t>Վ.Վ.-ն ընդդեմ Մեծ Բրիտանիայի</w:t>
      </w:r>
      <w:r w:rsidRPr="006E6C61">
        <w:t xml:space="preserve"> </w:t>
      </w:r>
      <w:r w:rsidRPr="006E6C61">
        <w:rPr>
          <w:rFonts w:ascii="ArTarumianTimes" w:hAnsi="ArTarumianTimes"/>
        </w:rPr>
        <w:t>[</w:t>
      </w:r>
      <w:hyperlink r:id="rId47" w:history="1">
        <w:r w:rsidRPr="006E6C61">
          <w:rPr>
            <w:rStyle w:val="Hyperlink"/>
            <w:rFonts w:ascii="Sylfaen" w:hAnsi="Sylfaen"/>
            <w:i/>
            <w:iCs/>
          </w:rPr>
          <w:t>V. v. the United Kingdom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>(1999) և Տ</w:t>
      </w:r>
      <w:r w:rsidRPr="006E6C61">
        <w:rPr>
          <w:rFonts w:ascii="Sylfaen" w:hAnsi="Sylfaen"/>
          <w:i/>
        </w:rPr>
        <w:t xml:space="preserve">.Վ.-ն ընդդեմ Մեծ Բրիտանիայի </w:t>
      </w:r>
      <w:r w:rsidRPr="006E6C61">
        <w:rPr>
          <w:rFonts w:ascii="ArTarumianTimes" w:hAnsi="ArTarumianTimes"/>
          <w:i/>
        </w:rPr>
        <w:t>[</w:t>
      </w:r>
      <w:r w:rsidRPr="006E6C61">
        <w:rPr>
          <w:rFonts w:ascii="Sylfaen" w:hAnsi="Sylfaen"/>
        </w:rPr>
        <w:t xml:space="preserve"> </w:t>
      </w:r>
      <w:hyperlink r:id="rId48" w:history="1">
        <w:r w:rsidRPr="006E6C61">
          <w:rPr>
            <w:rStyle w:val="Hyperlink"/>
            <w:rFonts w:ascii="Sylfaen" w:hAnsi="Sylfaen"/>
            <w:i/>
            <w:iCs/>
          </w:rPr>
          <w:t>T. v. the United Kingdom</w:t>
        </w:r>
      </w:hyperlink>
      <w:r w:rsidRPr="006E6C61">
        <w:rPr>
          <w:rFonts w:ascii="ArTarumianTimes" w:hAnsi="ArTarumianTimes"/>
        </w:rPr>
        <w:t>]</w:t>
      </w:r>
      <w:r w:rsidRPr="006E6C61">
        <w:rPr>
          <w:rFonts w:ascii="Sylfaen" w:hAnsi="Sylfaen"/>
          <w:i/>
          <w:iCs/>
        </w:rPr>
        <w:t xml:space="preserve"> </w:t>
      </w:r>
      <w:r w:rsidRPr="006E6C61">
        <w:rPr>
          <w:rFonts w:ascii="Sylfaen" w:hAnsi="Sylfaen"/>
        </w:rPr>
        <w:t xml:space="preserve">(1999)). </w:t>
      </w:r>
    </w:p>
    <w:p w:rsidR="006E45A8" w:rsidRPr="006E6C61" w:rsidRDefault="006E45A8" w:rsidP="006E45A8">
      <w:pPr>
        <w:pStyle w:val="HELPDistancelearning"/>
        <w:spacing w:after="200"/>
        <w:rPr>
          <w:rFonts w:ascii="Sylfaen" w:hAnsi="Sylfaen"/>
          <w:i/>
          <w:iCs/>
        </w:rPr>
      </w:pPr>
      <w:proofErr w:type="gramStart"/>
      <w:r w:rsidRPr="006E6C61">
        <w:rPr>
          <w:rFonts w:ascii="Sylfaen" w:hAnsi="Sylfaen"/>
          <w:i/>
          <w:iCs/>
        </w:rPr>
        <w:t xml:space="preserve">Աղբյուր` Համառոտ ուղեցույց Մարդու իրավունքների եվրոպական կոնվենցիայի վերաբերյալ, Դոննո Գոմիեն, </w:t>
      </w:r>
      <w:r w:rsidRPr="006E6C61">
        <w:rPr>
          <w:rFonts w:ascii="ArTarumianTimes" w:hAnsi="ArTarumianTimes"/>
          <w:i/>
          <w:iCs/>
        </w:rPr>
        <w:t>[</w:t>
      </w:r>
      <w:r w:rsidRPr="006E6C61">
        <w:rPr>
          <w:rFonts w:ascii="Sylfaen" w:hAnsi="Sylfaen"/>
          <w:i/>
          <w:iCs/>
        </w:rPr>
        <w:t>Short Guide to the European Convention on Human Rights, Donna Gomien</w:t>
      </w:r>
      <w:r w:rsidRPr="006E6C61">
        <w:rPr>
          <w:rFonts w:ascii="ArTarumianTimes" w:hAnsi="ArTarumianTimes"/>
          <w:i/>
          <w:iCs/>
        </w:rPr>
        <w:t>]</w:t>
      </w:r>
      <w:r w:rsidRPr="006E6C61">
        <w:rPr>
          <w:rFonts w:ascii="Sylfaen" w:hAnsi="Sylfaen"/>
          <w:i/>
          <w:iCs/>
        </w:rPr>
        <w:t>, 2005թ.</w:t>
      </w:r>
      <w:proofErr w:type="gramEnd"/>
    </w:p>
    <w:p w:rsidR="00DE4F67" w:rsidRDefault="006E45A8"/>
    <w:sectPr w:rsidR="00DE4F67" w:rsidSect="006E45A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NeueLT Std Lt Ext">
    <w:altName w:val="Malgun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5A8"/>
    <w:rsid w:val="006E45A8"/>
    <w:rsid w:val="008F4770"/>
    <w:rsid w:val="00E51404"/>
    <w:rsid w:val="00E6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LPDistancelearning">
    <w:name w:val="HELP_Distance learning"/>
    <w:basedOn w:val="Normal"/>
    <w:qFormat/>
    <w:rsid w:val="006E45A8"/>
    <w:pPr>
      <w:spacing w:after="60" w:line="360" w:lineRule="auto"/>
      <w:jc w:val="both"/>
    </w:pPr>
    <w:rPr>
      <w:rFonts w:ascii="HelveticaNeueLT Std Lt Ext" w:eastAsia="Times New Roman" w:hAnsi="HelveticaNeueLT Std Lt Ext" w:cs="Times New Roman"/>
      <w:sz w:val="24"/>
      <w:szCs w:val="24"/>
    </w:rPr>
  </w:style>
  <w:style w:type="paragraph" w:customStyle="1" w:styleId="HELPTitles1">
    <w:name w:val="HELP_Titles 1"/>
    <w:basedOn w:val="HELPDistancelearning"/>
    <w:next w:val="HELPDistancelearning"/>
    <w:qFormat/>
    <w:rsid w:val="006E45A8"/>
    <w:pPr>
      <w:spacing w:before="1200" w:after="600"/>
      <w:jc w:val="center"/>
    </w:pPr>
    <w:rPr>
      <w:b/>
      <w:caps/>
      <w:sz w:val="40"/>
      <w:szCs w:val="40"/>
    </w:rPr>
  </w:style>
  <w:style w:type="paragraph" w:customStyle="1" w:styleId="HELPTitles2">
    <w:name w:val="HELP_Titles_2"/>
    <w:basedOn w:val="HELPDistancelearning"/>
    <w:next w:val="HELPDistancelearning"/>
    <w:qFormat/>
    <w:rsid w:val="006E45A8"/>
    <w:pPr>
      <w:spacing w:before="840" w:after="480"/>
      <w:jc w:val="center"/>
    </w:pPr>
    <w:rPr>
      <w:b/>
      <w:smallCaps/>
      <w:sz w:val="28"/>
    </w:rPr>
  </w:style>
  <w:style w:type="paragraph" w:customStyle="1" w:styleId="HELPTitles3">
    <w:name w:val="HELP_Titles_3"/>
    <w:basedOn w:val="HELPDistancelearning"/>
    <w:next w:val="HELPDistancelearning"/>
    <w:qFormat/>
    <w:rsid w:val="006E45A8"/>
    <w:pPr>
      <w:spacing w:before="600" w:after="240"/>
    </w:pPr>
    <w:rPr>
      <w:smallCaps/>
    </w:rPr>
  </w:style>
  <w:style w:type="character" w:styleId="Hyperlink">
    <w:name w:val="Hyperlink"/>
    <w:unhideWhenUsed/>
    <w:rsid w:val="006E45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LPDistancelearning">
    <w:name w:val="HELP_Distance learning"/>
    <w:basedOn w:val="Normal"/>
    <w:qFormat/>
    <w:rsid w:val="006E45A8"/>
    <w:pPr>
      <w:spacing w:after="60" w:line="360" w:lineRule="auto"/>
      <w:jc w:val="both"/>
    </w:pPr>
    <w:rPr>
      <w:rFonts w:ascii="HelveticaNeueLT Std Lt Ext" w:eastAsia="Times New Roman" w:hAnsi="HelveticaNeueLT Std Lt Ext" w:cs="Times New Roman"/>
      <w:sz w:val="24"/>
      <w:szCs w:val="24"/>
    </w:rPr>
  </w:style>
  <w:style w:type="paragraph" w:customStyle="1" w:styleId="HELPTitles1">
    <w:name w:val="HELP_Titles 1"/>
    <w:basedOn w:val="HELPDistancelearning"/>
    <w:next w:val="HELPDistancelearning"/>
    <w:qFormat/>
    <w:rsid w:val="006E45A8"/>
    <w:pPr>
      <w:spacing w:before="1200" w:after="600"/>
      <w:jc w:val="center"/>
    </w:pPr>
    <w:rPr>
      <w:b/>
      <w:caps/>
      <w:sz w:val="40"/>
      <w:szCs w:val="40"/>
    </w:rPr>
  </w:style>
  <w:style w:type="paragraph" w:customStyle="1" w:styleId="HELPTitles2">
    <w:name w:val="HELP_Titles_2"/>
    <w:basedOn w:val="HELPDistancelearning"/>
    <w:next w:val="HELPDistancelearning"/>
    <w:qFormat/>
    <w:rsid w:val="006E45A8"/>
    <w:pPr>
      <w:spacing w:before="840" w:after="480"/>
      <w:jc w:val="center"/>
    </w:pPr>
    <w:rPr>
      <w:b/>
      <w:smallCaps/>
      <w:sz w:val="28"/>
    </w:rPr>
  </w:style>
  <w:style w:type="paragraph" w:customStyle="1" w:styleId="HELPTitles3">
    <w:name w:val="HELP_Titles_3"/>
    <w:basedOn w:val="HELPDistancelearning"/>
    <w:next w:val="HELPDistancelearning"/>
    <w:qFormat/>
    <w:rsid w:val="006E45A8"/>
    <w:pPr>
      <w:spacing w:before="600" w:after="240"/>
    </w:pPr>
    <w:rPr>
      <w:smallCaps/>
    </w:rPr>
  </w:style>
  <w:style w:type="character" w:styleId="Hyperlink">
    <w:name w:val="Hyperlink"/>
    <w:unhideWhenUsed/>
    <w:rsid w:val="006E45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hudoc.echr.coe.int/sites/eng/pages/search.aspx?i=001-58241" TargetMode="External"/><Relationship Id="rId18" Type="http://schemas.openxmlformats.org/officeDocument/2006/relationships/hyperlink" Target="file:///F:\Update%20model%20in%20English%20and%20templates_August%202013\Induction\Neumeister%20v.%20Austria" TargetMode="External"/><Relationship Id="rId26" Type="http://schemas.openxmlformats.org/officeDocument/2006/relationships/hyperlink" Target="http://hudoc.echr.coe.int/sites/eng/pages/search.aspx?i=001-58017" TargetMode="External"/><Relationship Id="rId39" Type="http://schemas.openxmlformats.org/officeDocument/2006/relationships/hyperlink" Target="http://hudoc.echr.coe.int/sites/eng/pages/search.aspx?i=001-2251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hudoc.echr.coe.int/sites/eng/pages/search.aspx?i=001-61210" TargetMode="External"/><Relationship Id="rId34" Type="http://schemas.openxmlformats.org/officeDocument/2006/relationships/hyperlink" Target="http://hudoc.echr.coe.int/sites/eng/pages/search.aspx?i=001-57881" TargetMode="External"/><Relationship Id="rId42" Type="http://schemas.openxmlformats.org/officeDocument/2006/relationships/hyperlink" Target="http://hudoc.echr.coe.int/sites/eng/pages/search.aspx?i=001-57541" TargetMode="External"/><Relationship Id="rId47" Type="http://schemas.openxmlformats.org/officeDocument/2006/relationships/hyperlink" Target="http://hudoc.echr.coe.int/sites/eng/pages/search.aspx?i=001-58594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hudoc.echr.coe.int/sites/eng/pages/search.aspx?i=001-57508" TargetMode="External"/><Relationship Id="rId12" Type="http://schemas.openxmlformats.org/officeDocument/2006/relationships/hyperlink" Target="http://hudoc.echr.coe.int/sites/eng/pages/search.aspx?i=001-57533" TargetMode="External"/><Relationship Id="rId17" Type="http://schemas.openxmlformats.org/officeDocument/2006/relationships/hyperlink" Target="http://hudoc.echr.coe.int/sites/eng/pages/search.aspx?i=001-113127" TargetMode="External"/><Relationship Id="rId25" Type="http://schemas.openxmlformats.org/officeDocument/2006/relationships/hyperlink" Target="http://hudoc.echr.coe.int/sites/eng/pages/search.aspx?i=001-57923" TargetMode="External"/><Relationship Id="rId33" Type="http://schemas.openxmlformats.org/officeDocument/2006/relationships/hyperlink" Target="http://hudoc.echr.coe.int/sites/eng/pages/search.aspx?i=001-58413" TargetMode="External"/><Relationship Id="rId38" Type="http://schemas.openxmlformats.org/officeDocument/2006/relationships/hyperlink" Target="http://hudoc.echr.coe.int/sites/eng/pages/search.aspx?i=001-58784" TargetMode="External"/><Relationship Id="rId46" Type="http://schemas.openxmlformats.org/officeDocument/2006/relationships/hyperlink" Target="file:///F:\Update%20model%20in%20English%20and%20templates_August%202013\Induction\T.P.%20and%20K.M.%20v.%20the%20United%20Kingdo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hudoc.echr.coe.int/sites/eng/pages/search.aspx?i=001-57804" TargetMode="External"/><Relationship Id="rId20" Type="http://schemas.openxmlformats.org/officeDocument/2006/relationships/hyperlink" Target="http://hudoc.echr.coe.int/sites/eng/pages/search.aspx?i=001-65417" TargetMode="External"/><Relationship Id="rId29" Type="http://schemas.openxmlformats.org/officeDocument/2006/relationships/hyperlink" Target="http://hudoc.echr.coe.int/sites/eng/pages/search.aspx?i=001-57443" TargetMode="External"/><Relationship Id="rId41" Type="http://schemas.openxmlformats.org/officeDocument/2006/relationships/hyperlink" Target="http://hudoc.echr.coe.int/sites/eng/pages/search.aspx?i=001-57462" TargetMode="External"/><Relationship Id="rId1" Type="http://schemas.openxmlformats.org/officeDocument/2006/relationships/styles" Target="styles.xml"/><Relationship Id="rId6" Type="http://schemas.openxmlformats.org/officeDocument/2006/relationships/hyperlink" Target="http://hudoc.echr.coe.int/sites/eng/pages/search.aspx?i=001-57473" TargetMode="External"/><Relationship Id="rId11" Type="http://schemas.openxmlformats.org/officeDocument/2006/relationships/hyperlink" Target="http://hudoc.echr.coe.int/sites/eng/pages/search.aspx?i=001-57584" TargetMode="External"/><Relationship Id="rId24" Type="http://schemas.openxmlformats.org/officeDocument/2006/relationships/hyperlink" Target="http://hudoc.echr.coe.int/sites/eng/pages/search.aspx?i=001-57941" TargetMode="External"/><Relationship Id="rId32" Type="http://schemas.openxmlformats.org/officeDocument/2006/relationships/hyperlink" Target="http://hudoc.echr.coe.int/sites/eng/pages/search.aspx?i=001-58055" TargetMode="External"/><Relationship Id="rId37" Type="http://schemas.openxmlformats.org/officeDocument/2006/relationships/hyperlink" Target="http://hudoc.echr.coe.int/sites/eng/pages/search.aspx?i=001-60168" TargetMode="External"/><Relationship Id="rId40" Type="http://schemas.openxmlformats.org/officeDocument/2006/relationships/hyperlink" Target="http://hudoc.echr.coe.int/sites/eng/pages/search.aspx?i=001-64899" TargetMode="External"/><Relationship Id="rId45" Type="http://schemas.openxmlformats.org/officeDocument/2006/relationships/hyperlink" Target="http://hudoc.echr.coe.int/sites/eng/pages/search.aspx?i=001-59998" TargetMode="External"/><Relationship Id="rId5" Type="http://schemas.openxmlformats.org/officeDocument/2006/relationships/hyperlink" Target="http://hudoc.echr.coe.int/sites/eng/pages/search.aspx?i=001-57587" TargetMode="External"/><Relationship Id="rId15" Type="http://schemas.openxmlformats.org/officeDocument/2006/relationships/hyperlink" Target="http://hudoc.echr.coe.int/sites/eng/pages/search.aspx?i=001-58032" TargetMode="External"/><Relationship Id="rId23" Type="http://schemas.openxmlformats.org/officeDocument/2006/relationships/hyperlink" Target="http://hudoc.echr.coe.int/sites/eng/pages/search.aspx?i=001-61122" TargetMode="External"/><Relationship Id="rId28" Type="http://schemas.openxmlformats.org/officeDocument/2006/relationships/hyperlink" Target="http://hudoc.echr.coe.int/sites/eng/pages/search.aspx?i=001-58023" TargetMode="External"/><Relationship Id="rId36" Type="http://schemas.openxmlformats.org/officeDocument/2006/relationships/hyperlink" Target="http://hudoc.echr.coe.int/sites/eng/pages/search.aspx?i=001-58148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hudoc.echr.coe.int/sites/eng/Pages/search.aspx" TargetMode="External"/><Relationship Id="rId19" Type="http://schemas.openxmlformats.org/officeDocument/2006/relationships/hyperlink" Target="http://hudoc.echr.coe.int/sites/eng/pages/search.aspx?i=001-63118" TargetMode="External"/><Relationship Id="rId31" Type="http://schemas.openxmlformats.org/officeDocument/2006/relationships/hyperlink" Target="http://hudoc.echr.coe.int/sites/eng/pages/search.aspx?i=001-57909" TargetMode="External"/><Relationship Id="rId44" Type="http://schemas.openxmlformats.org/officeDocument/2006/relationships/hyperlink" Target="http://hudoc.echr.coe.int/sites/eng/pages/search.aspx?i=001-579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udoc.echr.coe.int/sites/eng/pages/search.aspx?i=001-57496" TargetMode="External"/><Relationship Id="rId14" Type="http://schemas.openxmlformats.org/officeDocument/2006/relationships/hyperlink" Target="http://hudoc.echr.coe.int/sites/eng/pages/search.aspx?i=001-60996" TargetMode="External"/><Relationship Id="rId22" Type="http://schemas.openxmlformats.org/officeDocument/2006/relationships/hyperlink" Target="http://hudoc.echr.coe.int/sites/eng/pages/search.aspx?i=001-58843" TargetMode="External"/><Relationship Id="rId27" Type="http://schemas.openxmlformats.org/officeDocument/2006/relationships/hyperlink" Target="http://hudoc.echr.coe.int/sites/eng/pages/search.aspx?i=001-58015" TargetMode="External"/><Relationship Id="rId30" Type="http://schemas.openxmlformats.org/officeDocument/2006/relationships/hyperlink" Target="http://hudoc.echr.coe.int/sites/eng/pages/search.aspx?i=001-57910" TargetMode="External"/><Relationship Id="rId35" Type="http://schemas.openxmlformats.org/officeDocument/2006/relationships/hyperlink" Target="http://hudoc.echr.coe.int/sites/eng/pages/search.aspx?i=001-58083" TargetMode="External"/><Relationship Id="rId43" Type="http://schemas.openxmlformats.org/officeDocument/2006/relationships/hyperlink" Target="http://hudoc.echr.coe.int/sites/eng/pages/search.aspx?i=001-57970" TargetMode="External"/><Relationship Id="rId48" Type="http://schemas.openxmlformats.org/officeDocument/2006/relationships/hyperlink" Target="http://hudoc.echr.coe.int/sites/eng/pages/search.aspx?i=001-58594" TargetMode="External"/><Relationship Id="rId8" Type="http://schemas.openxmlformats.org/officeDocument/2006/relationships/hyperlink" Target="http://hudoc.echr.coe.int/sites/eng/pages/search.aspx?i=001-578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4347</Words>
  <Characters>24784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</dc:creator>
  <cp:lastModifiedBy>ARAIK</cp:lastModifiedBy>
  <cp:revision>1</cp:revision>
  <dcterms:created xsi:type="dcterms:W3CDTF">2014-03-26T14:47:00Z</dcterms:created>
  <dcterms:modified xsi:type="dcterms:W3CDTF">2014-03-26T14:49:00Z</dcterms:modified>
</cp:coreProperties>
</file>