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32"/>
        </w:rPr>
      </w:pPr>
      <w:bookmarkStart w:id="0" w:name="_GoBack"/>
      <w:bookmarkEnd w:id="0"/>
    </w:p>
    <w:p w:rsidR="00BB6AF7" w:rsidRPr="00B65E79" w:rsidRDefault="00BB6AF7" w:rsidP="00BB6AF7">
      <w:pPr>
        <w:spacing w:line="288" w:lineRule="auto"/>
        <w:jc w:val="center"/>
        <w:rPr>
          <w:rFonts w:ascii="Sylfaen" w:hAnsi="Sylfaen" w:cs="Sylfaen"/>
          <w:b/>
          <w:sz w:val="44"/>
        </w:rPr>
      </w:pPr>
      <w:r w:rsidRPr="00B65E79">
        <w:rPr>
          <w:rFonts w:ascii="Sylfaen" w:hAnsi="Sylfaen" w:cs="Sylfaen"/>
          <w:b/>
          <w:sz w:val="36"/>
        </w:rPr>
        <w:t>«Խ</w:t>
      </w:r>
      <w:r w:rsidRPr="00B65E79">
        <w:rPr>
          <w:rFonts w:ascii="Sylfaen" w:hAnsi="Sylfaen"/>
          <w:b/>
          <w:sz w:val="36"/>
        </w:rPr>
        <w:t>ոշտանգման և վատ վերաբերմունքի այլ դրսևորումների քրեականացման, կանխման, արդյունավետ քննության և հետապնդման օրենսդրական և իրավակիրառ մեխանիզմների կատարելագործում</w:t>
      </w:r>
      <w:r w:rsidRPr="00B65E79">
        <w:rPr>
          <w:rFonts w:ascii="Sylfaen" w:hAnsi="Sylfaen"/>
          <w:b/>
          <w:sz w:val="36"/>
          <w:lang w:val="ru-RU"/>
        </w:rPr>
        <w:t>ը</w:t>
      </w:r>
      <w:r w:rsidRPr="00B65E79">
        <w:rPr>
          <w:rFonts w:ascii="Sylfaen" w:hAnsi="Sylfaen"/>
          <w:b/>
          <w:sz w:val="36"/>
        </w:rPr>
        <w:t>»</w:t>
      </w:r>
      <w:r w:rsidR="00141B31">
        <w:rPr>
          <w:rFonts w:ascii="Sylfaen" w:hAnsi="Sylfaen"/>
          <w:b/>
          <w:sz w:val="36"/>
        </w:rPr>
        <w:t xml:space="preserve">  </w:t>
      </w: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32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center"/>
        <w:rPr>
          <w:rFonts w:ascii="Sylfaen" w:hAnsi="Sylfaen" w:cs="Sylfaen"/>
          <w:b/>
          <w:sz w:val="24"/>
        </w:rPr>
      </w:pPr>
    </w:p>
    <w:p w:rsidR="00BB6AF7" w:rsidRPr="00B65E79" w:rsidRDefault="00BB6AF7" w:rsidP="00BB6AF7">
      <w:pPr>
        <w:spacing w:line="288" w:lineRule="auto"/>
        <w:jc w:val="right"/>
        <w:rPr>
          <w:rFonts w:ascii="Sylfaen" w:hAnsi="Sylfaen" w:cs="Sylfaen"/>
          <w:b/>
          <w:sz w:val="28"/>
        </w:rPr>
      </w:pPr>
      <w:r w:rsidRPr="00B65E79">
        <w:rPr>
          <w:rFonts w:ascii="Sylfaen" w:hAnsi="Sylfaen" w:cs="Sylfaen"/>
          <w:b/>
          <w:sz w:val="28"/>
        </w:rPr>
        <w:t xml:space="preserve">(Հեղինակներ՝ փորձագետներ </w:t>
      </w:r>
    </w:p>
    <w:p w:rsidR="00BB6AF7" w:rsidRPr="00B65E79" w:rsidRDefault="00BB6AF7" w:rsidP="00BB6AF7">
      <w:pPr>
        <w:spacing w:line="288" w:lineRule="auto"/>
        <w:jc w:val="right"/>
        <w:rPr>
          <w:rFonts w:ascii="Sylfaen" w:hAnsi="Sylfaen" w:cs="Sylfaen"/>
          <w:b/>
          <w:sz w:val="28"/>
        </w:rPr>
      </w:pPr>
      <w:r w:rsidRPr="00B65E79">
        <w:rPr>
          <w:rFonts w:ascii="Sylfaen" w:hAnsi="Sylfaen" w:cs="Sylfaen"/>
          <w:b/>
          <w:sz w:val="28"/>
        </w:rPr>
        <w:t>Արտակ Զեյնալյան և Դավիթ Խաչատուրյան)</w:t>
      </w: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Pr="00B65E79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Pr="00B65E79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Pr="00B65E79" w:rsidRDefault="00BB6AF7" w:rsidP="00BB6AF7">
      <w:pPr>
        <w:spacing w:line="288" w:lineRule="auto"/>
        <w:jc w:val="both"/>
        <w:rPr>
          <w:rFonts w:ascii="Sylfaen" w:hAnsi="Sylfaen" w:cs="Sylfaen"/>
          <w:b/>
          <w:sz w:val="32"/>
        </w:rPr>
      </w:pPr>
    </w:p>
    <w:p w:rsidR="00BB6AF7" w:rsidRPr="00B65E79" w:rsidRDefault="00BB6AF7" w:rsidP="00BB6AF7">
      <w:pPr>
        <w:spacing w:line="288" w:lineRule="auto"/>
        <w:jc w:val="both"/>
        <w:rPr>
          <w:rFonts w:ascii="Sylfaen" w:hAnsi="Sylfaen" w:cs="Sylfaen"/>
          <w:b/>
          <w:sz w:val="32"/>
        </w:rPr>
      </w:pPr>
    </w:p>
    <w:p w:rsidR="00BB6AF7" w:rsidRPr="00B65E79" w:rsidRDefault="00BB6AF7" w:rsidP="00BB6AF7">
      <w:pPr>
        <w:spacing w:line="288" w:lineRule="auto"/>
        <w:jc w:val="both"/>
        <w:rPr>
          <w:rFonts w:ascii="Sylfaen" w:hAnsi="Sylfaen" w:cs="Sylfaen"/>
          <w:b/>
          <w:sz w:val="32"/>
        </w:rPr>
      </w:pPr>
    </w:p>
    <w:p w:rsidR="00BB6AF7" w:rsidRPr="00B65E79" w:rsidRDefault="00BB6AF7" w:rsidP="00BB6AF7">
      <w:pPr>
        <w:spacing w:line="288" w:lineRule="auto"/>
        <w:jc w:val="center"/>
        <w:rPr>
          <w:rFonts w:ascii="Sylfaen" w:hAnsi="Sylfaen" w:cs="Sylfaen"/>
          <w:b/>
          <w:sz w:val="36"/>
        </w:rPr>
      </w:pPr>
      <w:r w:rsidRPr="00B65E79">
        <w:rPr>
          <w:rFonts w:ascii="Sylfaen" w:hAnsi="Sylfaen" w:cs="Sylfaen"/>
          <w:b/>
          <w:sz w:val="36"/>
        </w:rPr>
        <w:t>ԵՐԵՎԱՆ</w:t>
      </w:r>
      <w:r>
        <w:rPr>
          <w:rFonts w:ascii="Sylfaen" w:hAnsi="Sylfaen" w:cs="Sylfaen"/>
          <w:b/>
          <w:sz w:val="36"/>
        </w:rPr>
        <w:t xml:space="preserve"> -</w:t>
      </w:r>
      <w:r w:rsidRPr="00B65E79">
        <w:rPr>
          <w:rFonts w:ascii="Sylfaen" w:hAnsi="Sylfaen" w:cs="Sylfaen"/>
          <w:b/>
          <w:sz w:val="36"/>
        </w:rPr>
        <w:t xml:space="preserve"> 2015</w:t>
      </w: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Pr="00B65E79" w:rsidRDefault="00BB6AF7" w:rsidP="00BB6AF7">
      <w:pPr>
        <w:spacing w:line="288" w:lineRule="auto"/>
        <w:jc w:val="center"/>
        <w:rPr>
          <w:rFonts w:ascii="Sylfaen" w:hAnsi="Sylfaen" w:cs="Sylfaen"/>
          <w:b/>
          <w:sz w:val="40"/>
        </w:rPr>
      </w:pPr>
      <w:r w:rsidRPr="00B65E79">
        <w:rPr>
          <w:rFonts w:ascii="Sylfaen" w:hAnsi="Sylfaen" w:cs="Sylfaen"/>
          <w:b/>
          <w:sz w:val="32"/>
        </w:rPr>
        <w:lastRenderedPageBreak/>
        <w:t>«Խ</w:t>
      </w:r>
      <w:r w:rsidRPr="00B65E79">
        <w:rPr>
          <w:rFonts w:ascii="Sylfaen" w:hAnsi="Sylfaen"/>
          <w:b/>
          <w:sz w:val="32"/>
        </w:rPr>
        <w:t>ոշտանգման և վատ վերաբերմունքի այլ դրսևորումների քրեականացման, կանխման, արդյունավետ քննության և հետապնդման օրենսդրական և իրավակիրառ մեխանիզմների կատարելագործում</w:t>
      </w:r>
      <w:r w:rsidRPr="00B65E79">
        <w:rPr>
          <w:rFonts w:ascii="Sylfaen" w:hAnsi="Sylfaen"/>
          <w:b/>
          <w:sz w:val="32"/>
          <w:lang w:val="ru-RU"/>
        </w:rPr>
        <w:t>ը</w:t>
      </w:r>
      <w:r w:rsidRPr="00B65E79">
        <w:rPr>
          <w:rFonts w:ascii="Sylfaen" w:hAnsi="Sylfaen"/>
          <w:b/>
          <w:sz w:val="32"/>
        </w:rPr>
        <w:t>»</w:t>
      </w:r>
    </w:p>
    <w:p w:rsidR="00BB6AF7" w:rsidRPr="00B65E79" w:rsidRDefault="00BB6AF7" w:rsidP="00BB6AF7">
      <w:pPr>
        <w:spacing w:line="288" w:lineRule="auto"/>
        <w:jc w:val="both"/>
        <w:rPr>
          <w:rFonts w:ascii="Sylfaen" w:hAnsi="Sylfaen" w:cs="Sylfaen"/>
          <w:b/>
          <w:sz w:val="22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Pr="001A0A40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/>
          <w:b/>
          <w:i/>
          <w:sz w:val="28"/>
        </w:rPr>
      </w:pPr>
      <w:r w:rsidRPr="00FA1A46">
        <w:rPr>
          <w:rFonts w:ascii="Sylfaen" w:hAnsi="Sylfaen"/>
          <w:b/>
          <w:i/>
          <w:sz w:val="28"/>
          <w:u w:val="single"/>
          <w:lang w:val="ru-RU"/>
        </w:rPr>
        <w:t>Ներածություն</w:t>
      </w:r>
      <w:r w:rsidRPr="00FA1A46">
        <w:rPr>
          <w:rFonts w:ascii="Sylfaen" w:hAnsi="Sylfaen"/>
          <w:b/>
          <w:i/>
          <w:sz w:val="28"/>
          <w:u w:val="single"/>
        </w:rPr>
        <w:t>.</w:t>
      </w:r>
      <w:r w:rsidRPr="00FA1A46">
        <w:rPr>
          <w:rFonts w:ascii="Sylfaen" w:hAnsi="Sylfaen"/>
          <w:b/>
          <w:i/>
          <w:sz w:val="28"/>
        </w:rPr>
        <w:t xml:space="preserve"> 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b/>
          <w:i/>
          <w:sz w:val="28"/>
        </w:rPr>
      </w:pPr>
    </w:p>
    <w:p w:rsidR="00BB6AF7" w:rsidRPr="00FA1A46" w:rsidRDefault="00BB6AF7" w:rsidP="00BB6AF7">
      <w:pPr>
        <w:spacing w:line="288" w:lineRule="auto"/>
        <w:jc w:val="both"/>
        <w:rPr>
          <w:rFonts w:ascii="Sylfaen" w:hAnsi="Sylfaen"/>
          <w:b/>
          <w:i/>
          <w:sz w:val="28"/>
        </w:rPr>
      </w:pPr>
      <w:r w:rsidRPr="00FA1A46">
        <w:rPr>
          <w:rFonts w:ascii="Sylfaen" w:hAnsi="Sylfaen"/>
          <w:b/>
          <w:i/>
          <w:sz w:val="28"/>
          <w:lang w:val="ru-RU"/>
        </w:rPr>
        <w:t>Ծրագրի</w:t>
      </w:r>
      <w:r w:rsidRPr="00FA1A46">
        <w:rPr>
          <w:rFonts w:ascii="Sylfaen" w:hAnsi="Sylfaen"/>
          <w:b/>
          <w:i/>
          <w:sz w:val="28"/>
        </w:rPr>
        <w:t xml:space="preserve"> </w:t>
      </w:r>
      <w:r w:rsidRPr="00FA1A46">
        <w:rPr>
          <w:rFonts w:ascii="Sylfaen" w:hAnsi="Sylfaen"/>
          <w:b/>
          <w:i/>
          <w:sz w:val="28"/>
          <w:lang w:val="ru-RU"/>
        </w:rPr>
        <w:t>նպատակը</w:t>
      </w:r>
      <w:r w:rsidRPr="00FA1A46">
        <w:rPr>
          <w:rFonts w:ascii="Sylfaen" w:hAnsi="Sylfaen"/>
          <w:b/>
          <w:i/>
          <w:sz w:val="28"/>
        </w:rPr>
        <w:t xml:space="preserve">, </w:t>
      </w:r>
      <w:r w:rsidRPr="00FA1A46">
        <w:rPr>
          <w:rFonts w:ascii="Sylfaen" w:hAnsi="Sylfaen"/>
          <w:b/>
          <w:i/>
          <w:sz w:val="28"/>
          <w:lang w:val="ru-RU"/>
        </w:rPr>
        <w:t>հիմնախնդիրներ</w:t>
      </w:r>
      <w:r>
        <w:rPr>
          <w:rFonts w:ascii="Sylfaen" w:hAnsi="Sylfaen"/>
          <w:b/>
          <w:i/>
          <w:sz w:val="28"/>
        </w:rPr>
        <w:t>ը</w:t>
      </w:r>
      <w:r w:rsidRPr="00FA1A46">
        <w:rPr>
          <w:rFonts w:ascii="Sylfaen" w:hAnsi="Sylfaen"/>
          <w:b/>
          <w:i/>
          <w:sz w:val="28"/>
        </w:rPr>
        <w:t xml:space="preserve"> </w:t>
      </w:r>
      <w:r>
        <w:rPr>
          <w:rFonts w:ascii="Sylfaen" w:hAnsi="Sylfaen"/>
          <w:b/>
          <w:i/>
          <w:sz w:val="28"/>
        </w:rPr>
        <w:t>և բովանդակությունը</w:t>
      </w:r>
      <w:r w:rsidRPr="00FA1A46">
        <w:rPr>
          <w:rFonts w:ascii="Sylfaen" w:hAnsi="Sylfaen"/>
          <w:b/>
          <w:i/>
          <w:sz w:val="28"/>
        </w:rPr>
        <w:t xml:space="preserve"> </w:t>
      </w:r>
    </w:p>
    <w:p w:rsidR="00BB6AF7" w:rsidRPr="001A0A40" w:rsidRDefault="00BB6AF7" w:rsidP="00BB6AF7">
      <w:pPr>
        <w:spacing w:line="288" w:lineRule="auto"/>
        <w:jc w:val="both"/>
        <w:rPr>
          <w:rFonts w:ascii="Sylfaen" w:hAnsi="Sylfaen"/>
          <w:b/>
          <w:sz w:val="24"/>
          <w:u w:val="single"/>
        </w:rPr>
      </w:pPr>
    </w:p>
    <w:p w:rsidR="00BB6AF7" w:rsidRPr="001A0A40" w:rsidRDefault="00BB6AF7" w:rsidP="00BB6AF7">
      <w:pPr>
        <w:spacing w:line="288" w:lineRule="auto"/>
        <w:jc w:val="both"/>
        <w:rPr>
          <w:rFonts w:ascii="Sylfaen" w:hAnsi="Sylfaen" w:cs="Sylfaen"/>
          <w:b/>
          <w:sz w:val="24"/>
        </w:rPr>
      </w:pPr>
    </w:p>
    <w:p w:rsidR="00BB6AF7" w:rsidRPr="001A0A40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 w:rsidRPr="001A0A40">
        <w:rPr>
          <w:rFonts w:ascii="Sylfaen" w:hAnsi="Sylfaen" w:cs="Sylfaen"/>
          <w:b/>
          <w:sz w:val="24"/>
        </w:rPr>
        <w:t>«</w:t>
      </w:r>
      <w:r w:rsidRPr="005224DE">
        <w:rPr>
          <w:rFonts w:ascii="Sylfaen" w:hAnsi="Sylfaen" w:cs="Sylfaen"/>
          <w:b/>
          <w:sz w:val="24"/>
        </w:rPr>
        <w:t>Խ</w:t>
      </w:r>
      <w:r w:rsidRPr="005224DE">
        <w:rPr>
          <w:rFonts w:ascii="Sylfaen" w:hAnsi="Sylfaen"/>
          <w:b/>
          <w:sz w:val="24"/>
        </w:rPr>
        <w:t>ոշտանգման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և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վատ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վերաբերմունքի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այլ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դրսևորումների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քրեականացման</w:t>
      </w:r>
      <w:r w:rsidRPr="001A0A40">
        <w:rPr>
          <w:rFonts w:ascii="Sylfaen" w:hAnsi="Sylfaen"/>
          <w:b/>
          <w:sz w:val="24"/>
        </w:rPr>
        <w:t xml:space="preserve">, </w:t>
      </w:r>
      <w:r w:rsidRPr="005224DE">
        <w:rPr>
          <w:rFonts w:ascii="Sylfaen" w:hAnsi="Sylfaen"/>
          <w:b/>
          <w:sz w:val="24"/>
        </w:rPr>
        <w:t>կանխման</w:t>
      </w:r>
      <w:r w:rsidRPr="001A0A40">
        <w:rPr>
          <w:rFonts w:ascii="Sylfaen" w:hAnsi="Sylfaen"/>
          <w:b/>
          <w:sz w:val="24"/>
        </w:rPr>
        <w:t xml:space="preserve">, </w:t>
      </w:r>
      <w:r w:rsidRPr="005224DE">
        <w:rPr>
          <w:rFonts w:ascii="Sylfaen" w:hAnsi="Sylfaen"/>
          <w:b/>
          <w:sz w:val="24"/>
        </w:rPr>
        <w:t>արդյունավետ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քննության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և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հետապնդման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օրենսդրական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և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իրավակիրառ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մեխանիզմների</w:t>
      </w:r>
      <w:r w:rsidRPr="001A0A40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կատարելագործում</w:t>
      </w:r>
      <w:r>
        <w:rPr>
          <w:rFonts w:ascii="Sylfaen" w:hAnsi="Sylfaen"/>
          <w:b/>
          <w:sz w:val="24"/>
        </w:rPr>
        <w:t>ը</w:t>
      </w:r>
      <w:r w:rsidRPr="001A0A40">
        <w:rPr>
          <w:rFonts w:ascii="Sylfaen" w:hAnsi="Sylfaen"/>
          <w:b/>
          <w:sz w:val="24"/>
        </w:rPr>
        <w:t>»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Ծրագրի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նպատակն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է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 w:cs="Sylfaen"/>
          <w:sz w:val="24"/>
        </w:rPr>
        <w:t>նպաստել</w:t>
      </w:r>
      <w:r w:rsidRPr="001A0A40">
        <w:rPr>
          <w:rFonts w:ascii="Sylfaen" w:hAnsi="Sylfaen" w:cs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խոշտանգման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արգելքի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իրացմանը՝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խոշտանգում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և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վատ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վերաբերմունքի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այլ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դրսևորում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հանդիսացող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արարքները</w:t>
      </w:r>
      <w:r w:rsidRPr="001A0A40">
        <w:rPr>
          <w:rFonts w:ascii="Sylfaen" w:hAnsi="Sylfaen"/>
          <w:sz w:val="24"/>
        </w:rPr>
        <w:t xml:space="preserve"> (</w:t>
      </w:r>
      <w:r w:rsidRPr="005224DE">
        <w:rPr>
          <w:rFonts w:ascii="Sylfaen" w:hAnsi="Sylfaen"/>
          <w:sz w:val="24"/>
        </w:rPr>
        <w:t>գործողությունները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կամ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անգործությունը</w:t>
      </w:r>
      <w:r w:rsidRPr="001A0A40">
        <w:rPr>
          <w:rFonts w:ascii="Sylfaen" w:hAnsi="Sylfaen"/>
          <w:sz w:val="24"/>
        </w:rPr>
        <w:t xml:space="preserve">) </w:t>
      </w:r>
      <w:r w:rsidRPr="005224DE">
        <w:rPr>
          <w:rFonts w:ascii="Sylfaen" w:hAnsi="Sylfaen"/>
          <w:sz w:val="24"/>
        </w:rPr>
        <w:t>միջազգային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չափորոշիչներին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համապատասխան՝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քրեական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օրենսգրքում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նկարագրելու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և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դատական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և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այլ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իրավակիրառական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պրակտիկայում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դրանց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կանխման</w:t>
      </w:r>
      <w:r w:rsidRPr="001A0A40">
        <w:rPr>
          <w:rFonts w:ascii="Sylfaen" w:hAnsi="Sylfaen"/>
          <w:sz w:val="24"/>
        </w:rPr>
        <w:t xml:space="preserve">, </w:t>
      </w:r>
      <w:r w:rsidRPr="005224DE">
        <w:rPr>
          <w:rFonts w:ascii="Sylfaen" w:hAnsi="Sylfaen"/>
          <w:sz w:val="24"/>
        </w:rPr>
        <w:t>բացահայտման</w:t>
      </w:r>
      <w:r w:rsidRPr="001A0A40">
        <w:rPr>
          <w:rFonts w:ascii="Sylfaen" w:hAnsi="Sylfaen"/>
          <w:sz w:val="24"/>
        </w:rPr>
        <w:t xml:space="preserve">, </w:t>
      </w:r>
      <w:r w:rsidRPr="005224DE">
        <w:rPr>
          <w:rFonts w:ascii="Sylfaen" w:hAnsi="Sylfaen"/>
          <w:sz w:val="24"/>
        </w:rPr>
        <w:t>արդյունավետ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քննության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և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հետապնդման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մեխանիզմներ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ներդնելու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կամ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դրանք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կատարելագործելու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միջոցով</w:t>
      </w:r>
      <w:r w:rsidRPr="001A0A40">
        <w:rPr>
          <w:rFonts w:ascii="Sylfaen" w:hAnsi="Sylfaen"/>
          <w:sz w:val="24"/>
        </w:rPr>
        <w:t>:</w:t>
      </w:r>
    </w:p>
    <w:p w:rsidR="00BB6AF7" w:rsidRPr="001A0A40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 w:cs="Sylfaen"/>
          <w:sz w:val="24"/>
          <w:szCs w:val="24"/>
          <w:lang w:eastAsia="ru-RU"/>
        </w:rPr>
      </w:pPr>
      <w:r w:rsidRPr="005224DE">
        <w:rPr>
          <w:rFonts w:ascii="Sylfaen" w:hAnsi="Sylfaen" w:cs="Sylfaen"/>
          <w:sz w:val="24"/>
        </w:rPr>
        <w:t>Ծրագրի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հիմնա</w:t>
      </w:r>
      <w:r>
        <w:rPr>
          <w:rFonts w:ascii="Sylfaen" w:hAnsi="Sylfaen"/>
          <w:sz w:val="24"/>
        </w:rPr>
        <w:t>խնդիր</w:t>
      </w:r>
      <w:r>
        <w:rPr>
          <w:rFonts w:ascii="Sylfaen" w:hAnsi="Sylfaen"/>
          <w:sz w:val="24"/>
          <w:lang w:val="ru-RU"/>
        </w:rPr>
        <w:t>ներն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են</w:t>
      </w:r>
      <w:r w:rsidRPr="001A0A40">
        <w:rPr>
          <w:rFonts w:ascii="Sylfaen" w:hAnsi="Sylfaen"/>
          <w:sz w:val="24"/>
        </w:rPr>
        <w:t xml:space="preserve">` </w:t>
      </w:r>
      <w:r w:rsidRPr="005224DE">
        <w:rPr>
          <w:rFonts w:ascii="Sylfaen" w:hAnsi="Sylfaen"/>
          <w:sz w:val="24"/>
        </w:rPr>
        <w:t>ապահովել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հռչակված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նպատակի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իրագործման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այնպիսի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արդյունավետ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մեխանիզմների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ներդրումն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ու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գործարկումը</w:t>
      </w:r>
      <w:r w:rsidRPr="001A0A40">
        <w:rPr>
          <w:rFonts w:ascii="Sylfaen" w:hAnsi="Sylfaen"/>
          <w:sz w:val="24"/>
        </w:rPr>
        <w:t xml:space="preserve">, </w:t>
      </w:r>
      <w:r w:rsidRPr="005224DE">
        <w:rPr>
          <w:rFonts w:ascii="Sylfaen" w:hAnsi="Sylfaen"/>
          <w:sz w:val="24"/>
        </w:rPr>
        <w:t>որոնք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կարտացոլեն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Միավորված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ազգերի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կազմակերպության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(</w:t>
      </w:r>
      <w:r>
        <w:rPr>
          <w:rFonts w:ascii="Sylfaen" w:hAnsi="Sylfaen"/>
          <w:sz w:val="24"/>
          <w:lang w:val="ru-RU"/>
        </w:rPr>
        <w:t>այսուհետ՝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ՄԱԿ</w:t>
      </w:r>
      <w:r>
        <w:rPr>
          <w:rFonts w:ascii="Sylfaen" w:hAnsi="Sylfaen"/>
          <w:sz w:val="24"/>
        </w:rPr>
        <w:t>)</w:t>
      </w:r>
      <w:r w:rsidRPr="008757EE">
        <w:rPr>
          <w:rFonts w:ascii="Sylfaen" w:hAnsi="Sylfaen"/>
          <w:sz w:val="24"/>
        </w:rPr>
        <w:t xml:space="preserve"> </w:t>
      </w:r>
      <w:r w:rsidR="0022414F" w:rsidRPr="0022414F">
        <w:rPr>
          <w:rFonts w:ascii="Sylfaen" w:hAnsi="Sylfaen"/>
          <w:sz w:val="24"/>
        </w:rPr>
        <w:t>«</w:t>
      </w:r>
      <w:r>
        <w:rPr>
          <w:rFonts w:ascii="Sylfaen" w:hAnsi="Sylfaen"/>
          <w:sz w:val="24"/>
          <w:lang w:val="ru-RU"/>
        </w:rPr>
        <w:t>Խոշտանգումների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և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այլ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դաժան</w:t>
      </w:r>
      <w:r w:rsidRPr="008757EE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անմարդկային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կամ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նվաստացնող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վերաբերմունքի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ու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պատժի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դեմ</w:t>
      </w:r>
      <w:r w:rsidR="0022414F" w:rsidRPr="0022414F">
        <w:rPr>
          <w:rFonts w:ascii="Sylfaen" w:hAnsi="Sylfaen"/>
          <w:sz w:val="24"/>
        </w:rPr>
        <w:t>»</w:t>
      </w:r>
      <w:r w:rsidRPr="008757EE">
        <w:rPr>
          <w:rFonts w:ascii="Sylfaen" w:hAnsi="Sylfaen"/>
          <w:sz w:val="24"/>
        </w:rPr>
        <w:t xml:space="preserve"> 1984</w:t>
      </w:r>
      <w:r>
        <w:rPr>
          <w:rFonts w:ascii="Sylfaen" w:hAnsi="Sylfaen"/>
          <w:sz w:val="24"/>
          <w:lang w:val="ru-RU"/>
        </w:rPr>
        <w:t>թ</w:t>
      </w:r>
      <w:r w:rsidRPr="008757EE">
        <w:rPr>
          <w:rFonts w:ascii="Sylfaen" w:hAnsi="Sylfaen"/>
          <w:sz w:val="24"/>
        </w:rPr>
        <w:t xml:space="preserve">. </w:t>
      </w:r>
      <w:r>
        <w:rPr>
          <w:rFonts w:ascii="Sylfaen" w:hAnsi="Sylfaen"/>
          <w:sz w:val="24"/>
          <w:lang w:val="ru-RU"/>
        </w:rPr>
        <w:t>դեկտեմբերի</w:t>
      </w:r>
      <w:r w:rsidRPr="008757EE">
        <w:rPr>
          <w:rFonts w:ascii="Sylfaen" w:hAnsi="Sylfaen"/>
          <w:sz w:val="24"/>
        </w:rPr>
        <w:t xml:space="preserve"> 10-</w:t>
      </w:r>
      <w:r>
        <w:rPr>
          <w:rFonts w:ascii="Sylfaen" w:hAnsi="Sylfaen"/>
          <w:sz w:val="24"/>
          <w:lang w:val="ru-RU"/>
        </w:rPr>
        <w:t>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կոնվենցիայի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(</w:t>
      </w:r>
      <w:r>
        <w:rPr>
          <w:rFonts w:ascii="Sylfaen" w:hAnsi="Sylfaen"/>
          <w:sz w:val="24"/>
          <w:lang w:val="ru-RU"/>
        </w:rPr>
        <w:t>այսուհետ՝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ՄԱԿ</w:t>
      </w:r>
      <w:r w:rsidRPr="00BE38EF">
        <w:rPr>
          <w:rFonts w:ascii="Sylfaen" w:hAnsi="Sylfaen"/>
          <w:sz w:val="24"/>
        </w:rPr>
        <w:t>-</w:t>
      </w:r>
      <w:r>
        <w:rPr>
          <w:rFonts w:ascii="Sylfaen" w:hAnsi="Sylfaen"/>
          <w:sz w:val="24"/>
          <w:lang w:val="ru-RU"/>
        </w:rPr>
        <w:t>ի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Կոնվենցիա</w:t>
      </w:r>
      <w:r>
        <w:rPr>
          <w:rFonts w:ascii="Sylfaen" w:hAnsi="Sylfaen"/>
          <w:sz w:val="24"/>
        </w:rPr>
        <w:t>)</w:t>
      </w:r>
      <w:r w:rsidRPr="008757EE">
        <w:rPr>
          <w:rFonts w:ascii="Sylfaen" w:hAnsi="Sylfaen"/>
          <w:sz w:val="24"/>
        </w:rPr>
        <w:t xml:space="preserve">, 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Մարդու</w:t>
      </w:r>
      <w:r w:rsidRPr="001A0A40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իրավունքների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և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հիմնարար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ազատությունների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պաշտպանության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մասին</w:t>
      </w:r>
      <w:r w:rsidRPr="008757EE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Եվրոպական</w:t>
      </w:r>
      <w:r w:rsidRPr="001A0A40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կոնվենցիայի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(</w:t>
      </w:r>
      <w:r>
        <w:rPr>
          <w:rFonts w:ascii="Sylfaen" w:hAnsi="Sylfaen"/>
          <w:sz w:val="24"/>
          <w:lang w:val="ru-RU"/>
        </w:rPr>
        <w:t>այսուհետ՝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ՄԻԵԿ</w:t>
      </w:r>
      <w:r>
        <w:rPr>
          <w:rFonts w:ascii="Sylfaen" w:hAnsi="Sylfaen"/>
          <w:sz w:val="24"/>
        </w:rPr>
        <w:t>)</w:t>
      </w:r>
      <w:r w:rsidRPr="008757EE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Հայաստանի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Հանրապետության</w:t>
      </w:r>
      <w:r w:rsidRPr="00960D65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կողմից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վավերացված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այլ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միջազգային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պայմանագրերի</w:t>
      </w:r>
      <w:r w:rsidRPr="008757E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պահանջները՝</w:t>
      </w:r>
      <w:r w:rsidRPr="00960D65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ինչպես</w:t>
      </w:r>
      <w:r w:rsidRPr="00960D65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որ</w:t>
      </w:r>
      <w:r w:rsidRPr="00960D65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դրանք</w:t>
      </w:r>
      <w:r w:rsidRPr="00960D65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մեկնաբանվել</w:t>
      </w:r>
      <w:r w:rsidRPr="00960D65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են</w:t>
      </w:r>
      <w:r w:rsidRPr="00960D65">
        <w:rPr>
          <w:rFonts w:ascii="Sylfaen" w:hAnsi="Sylfaen"/>
          <w:sz w:val="24"/>
        </w:rPr>
        <w:t xml:space="preserve"> </w:t>
      </w:r>
      <w:r w:rsidRPr="00FD65D7">
        <w:rPr>
          <w:rFonts w:ascii="Sylfaen" w:hAnsi="Sylfaen" w:cs="Sylfaen"/>
          <w:sz w:val="24"/>
          <w:szCs w:val="24"/>
          <w:lang w:val="ru-RU" w:eastAsia="ru-RU"/>
        </w:rPr>
        <w:t>վերպետական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դատական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և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ոչ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դատական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մարմինների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, </w:t>
      </w:r>
      <w:r>
        <w:rPr>
          <w:rFonts w:ascii="Sylfaen" w:hAnsi="Sylfaen" w:cs="Sylfaen"/>
          <w:sz w:val="24"/>
          <w:szCs w:val="24"/>
          <w:lang w:val="ru-RU" w:eastAsia="ru-RU"/>
        </w:rPr>
        <w:t>առաջին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հերթին՝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ՄԱԿ</w:t>
      </w:r>
      <w:r w:rsidRPr="00960D65">
        <w:rPr>
          <w:rFonts w:ascii="Sylfaen" w:hAnsi="Sylfaen" w:cs="Sylfaen"/>
          <w:sz w:val="24"/>
          <w:szCs w:val="24"/>
          <w:lang w:eastAsia="ru-RU"/>
        </w:rPr>
        <w:t>-</w:t>
      </w:r>
      <w:r>
        <w:rPr>
          <w:rFonts w:ascii="Sylfaen" w:hAnsi="Sylfaen" w:cs="Sylfaen"/>
          <w:sz w:val="24"/>
          <w:szCs w:val="24"/>
          <w:lang w:val="ru-RU" w:eastAsia="ru-RU"/>
        </w:rPr>
        <w:t>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Խոշտանգումների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դեմ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կոմիտեի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eastAsia="ru-RU"/>
        </w:rPr>
        <w:t>(</w:t>
      </w:r>
      <w:r>
        <w:rPr>
          <w:rFonts w:ascii="Sylfaen" w:hAnsi="Sylfaen" w:cs="Sylfaen"/>
          <w:sz w:val="24"/>
          <w:szCs w:val="24"/>
          <w:lang w:val="ru-RU" w:eastAsia="ru-RU"/>
        </w:rPr>
        <w:t>այսուհետ՝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ԽԴԿ</w:t>
      </w:r>
      <w:r>
        <w:rPr>
          <w:rFonts w:ascii="Sylfaen" w:hAnsi="Sylfaen" w:cs="Sylfaen"/>
          <w:sz w:val="24"/>
          <w:szCs w:val="24"/>
          <w:lang w:eastAsia="ru-RU"/>
        </w:rPr>
        <w:t>)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, </w:t>
      </w:r>
      <w:r>
        <w:rPr>
          <w:rFonts w:ascii="Sylfaen" w:hAnsi="Sylfaen" w:cs="Sylfaen"/>
          <w:sz w:val="24"/>
          <w:szCs w:val="24"/>
          <w:lang w:val="ru-RU" w:eastAsia="ru-RU"/>
        </w:rPr>
        <w:t>Մարդու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իրավունքների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Եվրոպական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դատարանի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eastAsia="ru-RU"/>
        </w:rPr>
        <w:t>(</w:t>
      </w:r>
      <w:r>
        <w:rPr>
          <w:rFonts w:ascii="Sylfaen" w:hAnsi="Sylfaen" w:cs="Sylfaen"/>
          <w:sz w:val="24"/>
          <w:szCs w:val="24"/>
          <w:lang w:val="ru-RU" w:eastAsia="ru-RU"/>
        </w:rPr>
        <w:t>այսուհետ՝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ՄԻԵԴ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կամ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Եվրոպական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դատարան</w:t>
      </w:r>
      <w:r>
        <w:rPr>
          <w:rFonts w:ascii="Sylfaen" w:hAnsi="Sylfaen" w:cs="Sylfaen"/>
          <w:sz w:val="24"/>
          <w:szCs w:val="24"/>
          <w:lang w:eastAsia="ru-RU"/>
        </w:rPr>
        <w:t>)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, </w:t>
      </w:r>
      <w:r>
        <w:rPr>
          <w:rFonts w:ascii="Sylfaen" w:hAnsi="Sylfaen" w:cs="Sylfaen"/>
          <w:sz w:val="24"/>
          <w:szCs w:val="24"/>
          <w:lang w:val="ru-RU" w:eastAsia="ru-RU"/>
        </w:rPr>
        <w:t>Եվրոպայի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խորհրդի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Խոշտանգումների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կանխարգելման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կոմիտեի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 w:rsidR="00F679DC">
        <w:rPr>
          <w:rFonts w:ascii="Sylfaen" w:hAnsi="Sylfaen" w:cs="Sylfaen"/>
          <w:sz w:val="24"/>
          <w:szCs w:val="24"/>
          <w:lang w:eastAsia="ru-RU"/>
        </w:rPr>
        <w:t>(</w:t>
      </w:r>
      <w:r w:rsidR="00F679DC">
        <w:rPr>
          <w:rFonts w:ascii="Sylfaen" w:hAnsi="Sylfaen" w:cs="Sylfaen"/>
          <w:sz w:val="24"/>
          <w:szCs w:val="24"/>
          <w:lang w:val="ru-RU" w:eastAsia="ru-RU"/>
        </w:rPr>
        <w:t>այսուհետ՝</w:t>
      </w:r>
      <w:r w:rsidR="00F679DC" w:rsidRPr="00F679DC">
        <w:rPr>
          <w:rFonts w:ascii="Sylfaen" w:hAnsi="Sylfaen" w:cs="Sylfaen"/>
          <w:sz w:val="24"/>
          <w:szCs w:val="24"/>
          <w:lang w:eastAsia="ru-RU"/>
        </w:rPr>
        <w:t xml:space="preserve"> </w:t>
      </w:r>
      <w:r w:rsidR="00F679DC">
        <w:rPr>
          <w:rFonts w:ascii="Sylfaen" w:hAnsi="Sylfaen" w:cs="Sylfaen"/>
          <w:sz w:val="24"/>
          <w:szCs w:val="24"/>
          <w:lang w:val="ru-RU" w:eastAsia="ru-RU"/>
        </w:rPr>
        <w:t>ԽԿԿ</w:t>
      </w:r>
      <w:r w:rsidR="00F679DC">
        <w:rPr>
          <w:rFonts w:ascii="Sylfaen" w:hAnsi="Sylfaen" w:cs="Sylfaen"/>
          <w:sz w:val="24"/>
          <w:szCs w:val="24"/>
          <w:lang w:eastAsia="ru-RU"/>
        </w:rPr>
        <w:t xml:space="preserve">) </w:t>
      </w:r>
      <w:r>
        <w:rPr>
          <w:rFonts w:ascii="Sylfaen" w:hAnsi="Sylfaen" w:cs="Sylfaen"/>
          <w:sz w:val="24"/>
          <w:szCs w:val="24"/>
          <w:lang w:val="ru-RU" w:eastAsia="ru-RU"/>
        </w:rPr>
        <w:lastRenderedPageBreak/>
        <w:t>կողմից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, </w:t>
      </w:r>
      <w:r>
        <w:rPr>
          <w:rFonts w:ascii="Sylfaen" w:hAnsi="Sylfaen" w:cs="Sylfaen"/>
          <w:sz w:val="24"/>
          <w:szCs w:val="24"/>
          <w:lang w:val="ru-RU" w:eastAsia="ru-RU"/>
        </w:rPr>
        <w:t>ինչպես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նաև՝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առանձին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բարձրագույն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ազգային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դատարանների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լավագույն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փորձի</w:t>
      </w:r>
      <w:r w:rsidRPr="00312EA2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մեջ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և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հեղինակավոր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միջազգային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փորձագետների</w:t>
      </w:r>
      <w:r w:rsidRPr="00312EA2">
        <w:rPr>
          <w:rFonts w:ascii="Sylfaen" w:hAnsi="Sylfaen" w:cs="Sylfaen"/>
          <w:sz w:val="24"/>
          <w:szCs w:val="24"/>
          <w:lang w:eastAsia="ru-RU"/>
        </w:rPr>
        <w:t xml:space="preserve"> </w:t>
      </w:r>
      <w:r>
        <w:rPr>
          <w:rFonts w:ascii="Sylfaen" w:hAnsi="Sylfaen" w:cs="Sylfaen"/>
          <w:sz w:val="24"/>
          <w:szCs w:val="24"/>
          <w:lang w:val="ru-RU" w:eastAsia="ru-RU"/>
        </w:rPr>
        <w:t>աշխատանքներում</w:t>
      </w:r>
      <w:r w:rsidRPr="00312EA2">
        <w:rPr>
          <w:rFonts w:ascii="Sylfaen" w:hAnsi="Sylfaen" w:cs="Sylfaen"/>
          <w:sz w:val="24"/>
          <w:szCs w:val="24"/>
          <w:lang w:eastAsia="ru-RU"/>
        </w:rPr>
        <w:t>:</w:t>
      </w:r>
      <w:r w:rsidRPr="00960D65">
        <w:rPr>
          <w:rFonts w:ascii="Sylfaen" w:hAnsi="Sylfaen" w:cs="Sylfaen"/>
          <w:sz w:val="24"/>
          <w:szCs w:val="24"/>
          <w:lang w:eastAsia="ru-RU"/>
        </w:rPr>
        <w:t xml:space="preserve"> </w:t>
      </w:r>
    </w:p>
    <w:p w:rsidR="00BB6AF7" w:rsidRP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P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Վերը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նշված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աղբյուրների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ներքո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ձևավորված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չափորոշիչների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և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Հայաստանի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Հանրապետության՝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այս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ոլորտում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առկա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միջազգայնորեն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և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ազգային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մակարդակով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արձանագրված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խնդրահարույց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իրավիճակի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համենատության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հիման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վրա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արվել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են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Հայաստանի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Հանրապետության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օրենսդրական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և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իրավակիրառական</w:t>
      </w:r>
      <w:r w:rsidRPr="00BB6AF7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</w:rPr>
        <w:t>առաջին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հերթին՝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դատական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և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դատախազա</w:t>
      </w:r>
      <w:r w:rsidRPr="00BB6AF7">
        <w:rPr>
          <w:rFonts w:ascii="Sylfaen" w:hAnsi="Sylfaen"/>
          <w:sz w:val="24"/>
        </w:rPr>
        <w:t>-</w:t>
      </w:r>
      <w:r>
        <w:rPr>
          <w:rFonts w:ascii="Sylfaen" w:hAnsi="Sylfaen"/>
          <w:sz w:val="24"/>
        </w:rPr>
        <w:t>քննչական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փո</w:t>
      </w:r>
      <w:r>
        <w:rPr>
          <w:rFonts w:ascii="Sylfaen" w:hAnsi="Sylfaen"/>
          <w:sz w:val="24"/>
          <w:lang w:val="ru-RU"/>
        </w:rPr>
        <w:t>ր</w:t>
      </w:r>
      <w:r>
        <w:rPr>
          <w:rFonts w:ascii="Sylfaen" w:hAnsi="Sylfaen"/>
          <w:sz w:val="24"/>
        </w:rPr>
        <w:t>ձ</w:t>
      </w:r>
      <w:r>
        <w:rPr>
          <w:rFonts w:ascii="Sylfaen" w:hAnsi="Sylfaen"/>
          <w:sz w:val="24"/>
          <w:lang w:val="ru-RU"/>
        </w:rPr>
        <w:t>ի</w:t>
      </w:r>
      <w:r w:rsidR="00F56CD4">
        <w:rPr>
          <w:rFonts w:ascii="Sylfaen" w:hAnsi="Sylfaen"/>
          <w:sz w:val="24"/>
        </w:rPr>
        <w:t>,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կատարելագործ</w:t>
      </w:r>
      <w:r>
        <w:rPr>
          <w:rFonts w:ascii="Sylfaen" w:hAnsi="Sylfaen"/>
          <w:sz w:val="24"/>
          <w:lang w:val="ru-RU"/>
        </w:rPr>
        <w:t>մանն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ուղղված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կոնկրետ</w:t>
      </w:r>
      <w:r w:rsidRPr="00BB6AF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առաջարկներ</w:t>
      </w:r>
      <w:r w:rsidRPr="00BB6AF7">
        <w:rPr>
          <w:rFonts w:ascii="Sylfaen" w:hAnsi="Sylfaen"/>
          <w:sz w:val="24"/>
        </w:rPr>
        <w:t xml:space="preserve">: </w:t>
      </w:r>
    </w:p>
    <w:p w:rsidR="00BB6AF7" w:rsidRP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Խնդիրների ընտրության և դրանց լուծման ուղիները մշակելիս, փորձ է արվել ներկայացնել դրանք ըստ ՄԻԵԴ կողմից ՄԻԵԿ 3-րդ հոդվածի ներքո անդամ-պետությունների ստանձնած միջազգային պարտավորությունների</w:t>
      </w:r>
      <w:r w:rsidR="00F56CD4">
        <w:rPr>
          <w:rFonts w:ascii="Sylfaen" w:hAnsi="Sylfaen"/>
          <w:sz w:val="24"/>
        </w:rPr>
        <w:t>:</w:t>
      </w:r>
      <w:r>
        <w:rPr>
          <w:rFonts w:ascii="Sylfaen" w:hAnsi="Sylfaen"/>
          <w:sz w:val="24"/>
        </w:rPr>
        <w:t xml:space="preserve"> </w:t>
      </w:r>
      <w:r w:rsidR="00F56CD4">
        <w:rPr>
          <w:rFonts w:ascii="Sylfaen" w:hAnsi="Sylfaen"/>
          <w:sz w:val="24"/>
        </w:rPr>
        <w:t xml:space="preserve">Այդ պարտավորություններն </w:t>
      </w:r>
      <w:r>
        <w:rPr>
          <w:rFonts w:ascii="Sylfaen" w:hAnsi="Sylfaen"/>
          <w:sz w:val="24"/>
        </w:rPr>
        <w:t>ընդհանուր առմամբ, հետևյալն են,.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Pr="000C3C47" w:rsidRDefault="00BB6AF7" w:rsidP="00BB6AF7">
      <w:pPr>
        <w:pStyle w:val="ListParagraph"/>
        <w:numPr>
          <w:ilvl w:val="0"/>
          <w:numId w:val="1"/>
        </w:numPr>
        <w:spacing w:line="288" w:lineRule="auto"/>
        <w:ind w:left="426" w:firstLine="0"/>
        <w:jc w:val="both"/>
        <w:rPr>
          <w:rFonts w:ascii="Sylfaen" w:hAnsi="Sylfaen"/>
          <w:sz w:val="24"/>
        </w:rPr>
      </w:pPr>
      <w:r w:rsidRPr="005224DE">
        <w:rPr>
          <w:rFonts w:ascii="Sylfaen" w:hAnsi="Sylfaen"/>
          <w:sz w:val="24"/>
        </w:rPr>
        <w:t>Նեգատիվ՝</w:t>
      </w:r>
      <w:r w:rsidRPr="000C3C47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զերծ</w:t>
      </w:r>
      <w:r w:rsidRPr="000C3C47">
        <w:rPr>
          <w:rFonts w:ascii="Sylfaen" w:hAnsi="Sylfaen"/>
          <w:b/>
          <w:sz w:val="24"/>
        </w:rPr>
        <w:t xml:space="preserve"> </w:t>
      </w:r>
      <w:r w:rsidRPr="005224DE">
        <w:rPr>
          <w:rFonts w:ascii="Sylfaen" w:hAnsi="Sylfaen"/>
          <w:b/>
          <w:sz w:val="24"/>
        </w:rPr>
        <w:t>մնալ</w:t>
      </w:r>
      <w:r w:rsidRPr="000C3C47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խոշտանգումներից</w:t>
      </w:r>
      <w:r w:rsidRPr="000C3C47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և</w:t>
      </w:r>
      <w:r w:rsidRPr="000C3C47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այլ</w:t>
      </w:r>
      <w:r w:rsidRPr="000C3C47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վատ</w:t>
      </w:r>
      <w:r w:rsidRPr="000C3C47">
        <w:rPr>
          <w:rFonts w:ascii="Sylfaen" w:hAnsi="Sylfaen"/>
          <w:sz w:val="24"/>
        </w:rPr>
        <w:t xml:space="preserve"> </w:t>
      </w:r>
      <w:r w:rsidRPr="005224DE">
        <w:rPr>
          <w:rFonts w:ascii="Sylfaen" w:hAnsi="Sylfaen"/>
          <w:sz w:val="24"/>
        </w:rPr>
        <w:t>վերաբերմունքից</w:t>
      </w:r>
      <w:r>
        <w:rPr>
          <w:rFonts w:ascii="Sylfaen" w:hAnsi="Sylfaen"/>
          <w:sz w:val="24"/>
        </w:rPr>
        <w:t>.</w:t>
      </w:r>
      <w:r w:rsidRPr="000C3C47">
        <w:rPr>
          <w:rFonts w:ascii="Sylfaen" w:hAnsi="Sylfaen"/>
          <w:sz w:val="24"/>
        </w:rPr>
        <w:t xml:space="preserve"> </w:t>
      </w:r>
    </w:p>
    <w:p w:rsidR="00BB6AF7" w:rsidRPr="000C3C47" w:rsidRDefault="00BB6AF7" w:rsidP="00BB6AF7">
      <w:pPr>
        <w:pStyle w:val="ListParagraph"/>
        <w:spacing w:line="288" w:lineRule="auto"/>
        <w:ind w:left="426"/>
        <w:jc w:val="both"/>
        <w:rPr>
          <w:rFonts w:ascii="Sylfaen" w:hAnsi="Sylfaen"/>
          <w:sz w:val="24"/>
        </w:rPr>
      </w:pPr>
    </w:p>
    <w:p w:rsidR="00BB6AF7" w:rsidRPr="000C3C47" w:rsidRDefault="00BB6AF7" w:rsidP="00BB6AF7">
      <w:pPr>
        <w:pStyle w:val="ListParagraph"/>
        <w:numPr>
          <w:ilvl w:val="0"/>
          <w:numId w:val="1"/>
        </w:numPr>
        <w:spacing w:line="288" w:lineRule="auto"/>
        <w:ind w:left="426" w:firstLine="0"/>
        <w:jc w:val="both"/>
        <w:rPr>
          <w:rFonts w:ascii="Sylfaen" w:hAnsi="Sylfaen"/>
          <w:sz w:val="24"/>
        </w:rPr>
      </w:pPr>
      <w:r w:rsidRPr="00B036D7">
        <w:rPr>
          <w:rFonts w:ascii="Sylfaen" w:hAnsi="Sylfaen" w:cs="Sylfaen"/>
          <w:sz w:val="24"/>
        </w:rPr>
        <w:t>Պոզիտիվ՝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քրեականացնել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խոշտանգման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և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այլ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վատ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վերաբերմունքի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բոլոր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ձևերը՝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ընդունելով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խոշտանգման</w:t>
      </w:r>
      <w:r>
        <w:rPr>
          <w:rStyle w:val="FootnoteReference"/>
          <w:rFonts w:ascii="Sylfaen" w:hAnsi="Sylfaen"/>
          <w:sz w:val="24"/>
        </w:rPr>
        <w:footnoteReference w:id="1"/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արգելքի</w:t>
      </w:r>
      <w:r w:rsidRPr="000C3C47">
        <w:rPr>
          <w:rFonts w:ascii="Sylfaen" w:hAnsi="Sylfaen"/>
          <w:sz w:val="24"/>
        </w:rPr>
        <w:t xml:space="preserve"> </w:t>
      </w:r>
      <w:r w:rsidRPr="00E46866">
        <w:rPr>
          <w:rFonts w:ascii="Sylfaen" w:hAnsi="Sylfaen"/>
          <w:b/>
          <w:sz w:val="24"/>
        </w:rPr>
        <w:t>erga omnes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բացարձակ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սկզբունք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լինելու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հանգամանքը</w:t>
      </w:r>
      <w:r w:rsidRPr="000C3C47">
        <w:rPr>
          <w:rFonts w:ascii="Sylfaen" w:hAnsi="Sylfaen"/>
          <w:sz w:val="24"/>
        </w:rPr>
        <w:t xml:space="preserve"> (</w:t>
      </w:r>
      <w:r>
        <w:rPr>
          <w:rFonts w:ascii="Sylfaen" w:hAnsi="Sylfaen"/>
          <w:sz w:val="24"/>
          <w:lang w:val="ru-RU"/>
        </w:rPr>
        <w:t>մասնավորապես</w:t>
      </w:r>
      <w:r w:rsidRPr="00B036D7">
        <w:rPr>
          <w:rFonts w:ascii="Sylfaen" w:hAnsi="Sylfaen"/>
          <w:sz w:val="24"/>
        </w:rPr>
        <w:t>՝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առաջին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հերթին</w:t>
      </w:r>
      <w:r w:rsidRPr="00BE38EF">
        <w:rPr>
          <w:rFonts w:ascii="Sylfaen" w:hAnsi="Sylfaen"/>
          <w:sz w:val="24"/>
        </w:rPr>
        <w:t xml:space="preserve">, </w:t>
      </w:r>
      <w:r w:rsidRPr="00B036D7">
        <w:rPr>
          <w:rFonts w:ascii="Sylfaen" w:hAnsi="Sylfaen"/>
          <w:sz w:val="24"/>
        </w:rPr>
        <w:t>թույլ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չտալով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քրեական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պատասխանատվությունը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բացառող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հանգամանքների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օրենսդրական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ամրագրում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այս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գործերով</w:t>
      </w:r>
      <w:r w:rsidRPr="000C3C47">
        <w:rPr>
          <w:rFonts w:ascii="Sylfaen" w:hAnsi="Sylfaen"/>
          <w:sz w:val="24"/>
        </w:rPr>
        <w:t>)</w:t>
      </w:r>
      <w:r>
        <w:rPr>
          <w:rFonts w:ascii="Sylfaen" w:hAnsi="Sylfaen"/>
          <w:sz w:val="24"/>
        </w:rPr>
        <w:t>.</w:t>
      </w:r>
    </w:p>
    <w:p w:rsidR="00BB6AF7" w:rsidRPr="000C3C47" w:rsidRDefault="00BB6AF7" w:rsidP="00BB6AF7">
      <w:pPr>
        <w:pStyle w:val="ListParagraph"/>
        <w:spacing w:line="288" w:lineRule="auto"/>
        <w:ind w:left="426"/>
        <w:jc w:val="both"/>
        <w:rPr>
          <w:rFonts w:ascii="Sylfaen" w:hAnsi="Sylfaen"/>
          <w:sz w:val="24"/>
        </w:rPr>
      </w:pPr>
    </w:p>
    <w:p w:rsidR="00BB6AF7" w:rsidRPr="000C3C47" w:rsidRDefault="00BB6AF7" w:rsidP="00BB6AF7">
      <w:pPr>
        <w:pStyle w:val="ListParagraph"/>
        <w:numPr>
          <w:ilvl w:val="0"/>
          <w:numId w:val="1"/>
        </w:numPr>
        <w:spacing w:line="288" w:lineRule="auto"/>
        <w:ind w:left="426" w:firstLine="0"/>
        <w:jc w:val="both"/>
        <w:rPr>
          <w:rFonts w:ascii="Sylfaen" w:hAnsi="Sylfaen"/>
          <w:sz w:val="24"/>
        </w:rPr>
      </w:pPr>
      <w:r w:rsidRPr="00B036D7">
        <w:rPr>
          <w:rFonts w:ascii="Sylfaen" w:hAnsi="Sylfaen" w:cs="Sylfaen"/>
          <w:sz w:val="24"/>
        </w:rPr>
        <w:t>Պոզիտիվ՝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կանխել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խոշտանգման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և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այլ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վատ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վերաբերմունքի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վտանգի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նյութականացումը</w:t>
      </w:r>
      <w:r w:rsidRPr="000C3C47">
        <w:rPr>
          <w:rFonts w:ascii="Sylfaen" w:hAnsi="Sylfaen"/>
          <w:sz w:val="24"/>
        </w:rPr>
        <w:t xml:space="preserve">, </w:t>
      </w:r>
      <w:r w:rsidRPr="00B036D7">
        <w:rPr>
          <w:rFonts w:ascii="Sylfaen" w:hAnsi="Sylfaen"/>
          <w:sz w:val="24"/>
        </w:rPr>
        <w:t>որը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պետությանը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հայտնի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էր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կամ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պետք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է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հայտնի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լիներ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տվյալ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հանգամանքներում</w:t>
      </w:r>
      <w:r>
        <w:rPr>
          <w:rFonts w:ascii="Sylfaen" w:hAnsi="Sylfaen"/>
          <w:sz w:val="24"/>
        </w:rPr>
        <w:t>, ներառյալ՝ խոշտանգմամբ ձեռք բերված ապացույցներն անթույլատրելի ճանաչելը.</w:t>
      </w:r>
    </w:p>
    <w:p w:rsidR="00BB6AF7" w:rsidRPr="000C3C47" w:rsidRDefault="00BB6AF7" w:rsidP="00BB6AF7">
      <w:pPr>
        <w:pStyle w:val="ListParagraph"/>
        <w:spacing w:line="288" w:lineRule="auto"/>
        <w:rPr>
          <w:rFonts w:ascii="Sylfaen" w:hAnsi="Sylfaen" w:cs="Sylfaen"/>
          <w:sz w:val="24"/>
        </w:rPr>
      </w:pPr>
    </w:p>
    <w:p w:rsidR="00BB6AF7" w:rsidRPr="000C3C47" w:rsidRDefault="00BB6AF7" w:rsidP="00BB6AF7">
      <w:pPr>
        <w:pStyle w:val="ListParagraph"/>
        <w:numPr>
          <w:ilvl w:val="0"/>
          <w:numId w:val="1"/>
        </w:numPr>
        <w:spacing w:line="288" w:lineRule="auto"/>
        <w:ind w:left="426" w:firstLine="0"/>
        <w:jc w:val="both"/>
        <w:rPr>
          <w:rFonts w:ascii="Sylfaen" w:hAnsi="Sylfaen"/>
          <w:sz w:val="24"/>
        </w:rPr>
      </w:pPr>
      <w:r w:rsidRPr="00B036D7">
        <w:rPr>
          <w:rFonts w:ascii="Sylfaen" w:hAnsi="Sylfaen" w:cs="Sylfaen"/>
          <w:sz w:val="24"/>
        </w:rPr>
        <w:t>Պոզիտիվ՝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նշված</w:t>
      </w:r>
      <w:r w:rsidRPr="00BE38EF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վտանգի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պնդվող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կամ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առերևույթ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առկա</w:t>
      </w:r>
      <w:r w:rsidRPr="00BE38EF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նյութականացման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դեպքում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կատարել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խոշտանգման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մասին</w:t>
      </w:r>
      <w:r w:rsidRPr="00BE38EF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հայտարարությունների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առթիվ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մեղավոր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անձնաց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 w:cs="Sylfaen"/>
          <w:sz w:val="24"/>
        </w:rPr>
        <w:t>հայտնաբերելու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ողջամիտ</w:t>
      </w:r>
      <w:r w:rsidRPr="00BE38EF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հեռանկար</w:t>
      </w:r>
      <w:r w:rsidRPr="00BE38EF">
        <w:rPr>
          <w:rFonts w:ascii="Sylfaen" w:hAnsi="Sylfaen" w:cs="Sylfaen"/>
          <w:sz w:val="24"/>
        </w:rPr>
        <w:t xml:space="preserve"> </w:t>
      </w:r>
      <w:r>
        <w:rPr>
          <w:rFonts w:ascii="Sylfaen" w:hAnsi="Sylfaen" w:cs="Sylfaen"/>
          <w:sz w:val="24"/>
          <w:lang w:val="ru-RU"/>
        </w:rPr>
        <w:t>ապահովող</w:t>
      </w:r>
      <w:r w:rsidRPr="00B036D7">
        <w:rPr>
          <w:rFonts w:ascii="Sylfaen" w:hAnsi="Sylfaen" w:cs="Sylfaen"/>
          <w:sz w:val="24"/>
        </w:rPr>
        <w:t>՝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արդյունավետ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և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անկախ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քննություն</w:t>
      </w:r>
      <w:r>
        <w:rPr>
          <w:rFonts w:ascii="Sylfaen" w:hAnsi="Sylfaen"/>
          <w:sz w:val="24"/>
        </w:rPr>
        <w:t>.</w:t>
      </w:r>
      <w:r w:rsidRPr="000C3C47">
        <w:rPr>
          <w:rFonts w:ascii="Sylfaen" w:hAnsi="Sylfaen"/>
          <w:sz w:val="24"/>
        </w:rPr>
        <w:t xml:space="preserve"> </w:t>
      </w:r>
    </w:p>
    <w:p w:rsidR="00BB6AF7" w:rsidRPr="000C3C47" w:rsidRDefault="00BB6AF7" w:rsidP="00BB6AF7">
      <w:pPr>
        <w:pStyle w:val="ListParagraph"/>
        <w:spacing w:line="288" w:lineRule="auto"/>
        <w:rPr>
          <w:rFonts w:ascii="Sylfaen" w:hAnsi="Sylfaen" w:cs="Sylfaen"/>
          <w:sz w:val="24"/>
        </w:rPr>
      </w:pPr>
    </w:p>
    <w:p w:rsidR="00BB6AF7" w:rsidRPr="000C3C47" w:rsidRDefault="00BB6AF7" w:rsidP="00BB6AF7">
      <w:pPr>
        <w:pStyle w:val="ListParagraph"/>
        <w:numPr>
          <w:ilvl w:val="0"/>
          <w:numId w:val="1"/>
        </w:numPr>
        <w:spacing w:line="288" w:lineRule="auto"/>
        <w:ind w:left="426" w:firstLine="0"/>
        <w:jc w:val="both"/>
        <w:rPr>
          <w:rFonts w:ascii="Sylfaen" w:hAnsi="Sylfaen"/>
          <w:sz w:val="24"/>
        </w:rPr>
      </w:pPr>
      <w:r w:rsidRPr="00B036D7">
        <w:rPr>
          <w:rFonts w:ascii="Sylfaen" w:hAnsi="Sylfaen" w:cs="Sylfaen"/>
          <w:sz w:val="24"/>
        </w:rPr>
        <w:lastRenderedPageBreak/>
        <w:t>Պոզիտիվ՝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խոշտանգման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մասին</w:t>
      </w:r>
      <w:r w:rsidRPr="00BE38EF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 w:cs="Sylfaen"/>
          <w:sz w:val="24"/>
        </w:rPr>
        <w:t>հայտարարություն</w:t>
      </w:r>
      <w:r w:rsidRPr="00B036D7">
        <w:rPr>
          <w:rFonts w:ascii="Sylfaen" w:hAnsi="Sylfaen"/>
          <w:sz w:val="24"/>
        </w:rPr>
        <w:t>ների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քննության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արդյունքում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հայտնաբերված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մեղավոր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անձանց</w:t>
      </w:r>
      <w:r w:rsidRPr="00BE38EF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նկատմամբ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sz w:val="24"/>
        </w:rPr>
        <w:t>նշանակել</w:t>
      </w:r>
      <w:r w:rsidRPr="000C3C4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 xml:space="preserve">և ի կատար ածել </w:t>
      </w:r>
      <w:r w:rsidRPr="00B036D7">
        <w:rPr>
          <w:rFonts w:ascii="Sylfaen" w:hAnsi="Sylfaen"/>
          <w:sz w:val="24"/>
        </w:rPr>
        <w:t>բավականաչափ</w:t>
      </w:r>
      <w:r w:rsidRPr="000C3C47">
        <w:rPr>
          <w:rFonts w:ascii="Sylfaen" w:hAnsi="Sylfaen"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զսպող</w:t>
      </w:r>
      <w:r w:rsidRPr="000C3C47">
        <w:rPr>
          <w:rFonts w:ascii="Sylfaen" w:hAnsi="Sylfaen"/>
          <w:b/>
          <w:sz w:val="24"/>
        </w:rPr>
        <w:t xml:space="preserve">, </w:t>
      </w:r>
      <w:r w:rsidRPr="00B036D7">
        <w:rPr>
          <w:rFonts w:ascii="Sylfaen" w:hAnsi="Sylfaen"/>
          <w:b/>
          <w:sz w:val="24"/>
        </w:rPr>
        <w:t>արդյունավետ</w:t>
      </w:r>
      <w:r w:rsidRPr="000C3C47">
        <w:rPr>
          <w:rFonts w:ascii="Sylfaen" w:hAnsi="Sylfaen"/>
          <w:b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և</w:t>
      </w:r>
      <w:r w:rsidRPr="000C3C47">
        <w:rPr>
          <w:rFonts w:ascii="Sylfaen" w:hAnsi="Sylfaen"/>
          <w:b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համաչափ</w:t>
      </w:r>
      <w:r w:rsidRPr="000C3C47">
        <w:rPr>
          <w:rFonts w:ascii="Sylfaen" w:hAnsi="Sylfaen"/>
          <w:b/>
          <w:sz w:val="24"/>
        </w:rPr>
        <w:t xml:space="preserve"> </w:t>
      </w:r>
      <w:r w:rsidRPr="00B036D7">
        <w:rPr>
          <w:rFonts w:ascii="Sylfaen" w:hAnsi="Sylfaen"/>
          <w:b/>
          <w:sz w:val="24"/>
        </w:rPr>
        <w:t>պատիժ</w:t>
      </w:r>
      <w:r>
        <w:rPr>
          <w:rFonts w:ascii="Sylfaen" w:hAnsi="Sylfaen"/>
          <w:b/>
          <w:sz w:val="24"/>
        </w:rPr>
        <w:t>ներ:</w:t>
      </w:r>
    </w:p>
    <w:p w:rsidR="00BB6AF7" w:rsidRDefault="00BB6AF7" w:rsidP="00BB6AF7">
      <w:pPr>
        <w:pStyle w:val="ListParagraph"/>
        <w:spacing w:line="288" w:lineRule="auto"/>
        <w:ind w:left="1440"/>
        <w:jc w:val="both"/>
        <w:rPr>
          <w:rFonts w:ascii="Sylfaen" w:hAnsi="Sylfaen"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 w:rsidRPr="008F0B67">
        <w:rPr>
          <w:rFonts w:ascii="Sylfaen" w:hAnsi="Sylfaen" w:cs="Sylfaen"/>
          <w:sz w:val="24"/>
        </w:rPr>
        <w:t>Այս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պարտավորություններից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յուրաքանչյուրը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սերտորեն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կապված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է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մյուս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բոլորի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հետ</w:t>
      </w:r>
      <w:r w:rsidRPr="008F0B67">
        <w:rPr>
          <w:rFonts w:ascii="Sylfaen" w:hAnsi="Sylfaen"/>
          <w:sz w:val="24"/>
        </w:rPr>
        <w:t xml:space="preserve">: </w:t>
      </w:r>
      <w:r w:rsidRPr="008F0B67">
        <w:rPr>
          <w:rFonts w:ascii="Sylfaen" w:hAnsi="Sylfaen" w:cs="Sylfaen"/>
          <w:sz w:val="24"/>
        </w:rPr>
        <w:t>Օրինակ՝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խոշտանգում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կազմող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գործողությունների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ոչ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պատշաճ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որակումը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անխուսափելիորեն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ազդում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է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քննության</w:t>
      </w:r>
      <w:r w:rsidRPr="008F0B67">
        <w:rPr>
          <w:rFonts w:ascii="Sylfaen" w:hAnsi="Sylfaen"/>
          <w:sz w:val="24"/>
        </w:rPr>
        <w:t xml:space="preserve"> </w:t>
      </w:r>
      <w:r w:rsidRPr="008F0B67">
        <w:rPr>
          <w:rFonts w:ascii="Sylfaen" w:hAnsi="Sylfaen" w:cs="Sylfaen"/>
          <w:sz w:val="24"/>
        </w:rPr>
        <w:t>արդյունավետության</w:t>
      </w:r>
      <w:r w:rsidRPr="008F0B67">
        <w:rPr>
          <w:rFonts w:ascii="Sylfaen" w:hAnsi="Sylfaen"/>
          <w:sz w:val="24"/>
        </w:rPr>
        <w:t>, և ամեն դեպքում</w:t>
      </w:r>
      <w:r>
        <w:rPr>
          <w:rFonts w:ascii="Sylfaen" w:hAnsi="Sylfaen"/>
          <w:sz w:val="24"/>
          <w:lang w:val="ru-RU"/>
        </w:rPr>
        <w:t>՝</w:t>
      </w:r>
      <w:r w:rsidRPr="008F0B67">
        <w:rPr>
          <w:rFonts w:ascii="Sylfaen" w:hAnsi="Sylfaen"/>
          <w:sz w:val="24"/>
        </w:rPr>
        <w:t xml:space="preserve"> նշանակվող պատժի անխուսափելիության վրա, քանի որ պետք է ապահովվի նաև իրավական որոշակիության և </w:t>
      </w:r>
      <w:r w:rsidR="0022414F" w:rsidRPr="0022414F">
        <w:rPr>
          <w:rFonts w:ascii="Sylfaen" w:hAnsi="Sylfaen"/>
          <w:sz w:val="24"/>
        </w:rPr>
        <w:t>«</w:t>
      </w:r>
      <w:r w:rsidRPr="008F0B67">
        <w:rPr>
          <w:rFonts w:ascii="Sylfaen" w:hAnsi="Sylfaen"/>
          <w:sz w:val="24"/>
        </w:rPr>
        <w:t>պատասխանատվություն միայն օրենքի խախտմա</w:t>
      </w:r>
      <w:r>
        <w:rPr>
          <w:rFonts w:ascii="Sylfaen" w:hAnsi="Sylfaen"/>
          <w:sz w:val="24"/>
        </w:rPr>
        <w:t>ն</w:t>
      </w:r>
      <w:r w:rsidRPr="008F0B67">
        <w:rPr>
          <w:rFonts w:ascii="Sylfaen" w:hAnsi="Sylfaen"/>
          <w:sz w:val="24"/>
        </w:rPr>
        <w:t xml:space="preserve"> դիմաց</w:t>
      </w:r>
      <w:r w:rsidR="0022414F" w:rsidRPr="0022414F">
        <w:rPr>
          <w:rFonts w:ascii="Sylfaen" w:hAnsi="Sylfaen"/>
          <w:sz w:val="24"/>
        </w:rPr>
        <w:t>»</w:t>
      </w:r>
      <w:r w:rsidRPr="008F0B67">
        <w:rPr>
          <w:rFonts w:ascii="Sylfaen" w:hAnsi="Sylfaen"/>
          <w:sz w:val="24"/>
        </w:rPr>
        <w:t xml:space="preserve"> սկզբունք</w:t>
      </w:r>
      <w:r>
        <w:rPr>
          <w:rFonts w:ascii="Sylfaen" w:hAnsi="Sylfaen"/>
          <w:sz w:val="24"/>
        </w:rPr>
        <w:t xml:space="preserve">ների իրագործումը </w:t>
      </w:r>
      <w:r w:rsidRPr="00886FEF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</w:rPr>
        <w:t>ՄԻԵԿ 7-րդ հոդված</w:t>
      </w:r>
      <w:r w:rsidRPr="00886FEF">
        <w:rPr>
          <w:rFonts w:ascii="Sylfaen" w:hAnsi="Sylfaen"/>
          <w:sz w:val="24"/>
        </w:rPr>
        <w:t>)</w:t>
      </w:r>
      <w:r w:rsidRPr="008F0B67">
        <w:rPr>
          <w:rFonts w:ascii="Sylfaen" w:hAnsi="Sylfaen"/>
          <w:sz w:val="24"/>
        </w:rPr>
        <w:t>: Կամ՝ մեղավորներին չպատժելը, խոշտանգմամբ ձեռք բերված ապացույցները մեղադրական դատավճռում օգտագործելը ինքնին չի ն</w:t>
      </w:r>
      <w:r>
        <w:rPr>
          <w:rFonts w:ascii="Sylfaen" w:hAnsi="Sylfaen"/>
          <w:sz w:val="24"/>
        </w:rPr>
        <w:t>պ</w:t>
      </w:r>
      <w:r w:rsidRPr="008F0B67">
        <w:rPr>
          <w:rFonts w:ascii="Sylfaen" w:hAnsi="Sylfaen"/>
          <w:sz w:val="24"/>
        </w:rPr>
        <w:t xml:space="preserve">աստում կանխման պոզիտիվ պարտավորության կատարմանը, այլ հակառակը՝ պաշտոնատար անձանց մոտ ստեղծում </w:t>
      </w:r>
      <w:r>
        <w:rPr>
          <w:rFonts w:ascii="Sylfaen" w:hAnsi="Sylfaen"/>
          <w:sz w:val="24"/>
        </w:rPr>
        <w:t xml:space="preserve">է </w:t>
      </w:r>
      <w:r w:rsidRPr="008F0B67">
        <w:rPr>
          <w:rFonts w:ascii="Sylfaen" w:hAnsi="Sylfaen"/>
          <w:sz w:val="24"/>
        </w:rPr>
        <w:t>անպատիժ մնալով</w:t>
      </w:r>
      <w:r>
        <w:rPr>
          <w:rFonts w:ascii="Sylfaen" w:hAnsi="Sylfaen"/>
          <w:sz w:val="24"/>
        </w:rPr>
        <w:t>,</w:t>
      </w:r>
      <w:r w:rsidRPr="008F0B67">
        <w:rPr>
          <w:rFonts w:ascii="Sylfaen" w:hAnsi="Sylfaen"/>
          <w:sz w:val="24"/>
        </w:rPr>
        <w:t xml:space="preserve"> ցանկացած եղանակով, այդ թվում</w:t>
      </w:r>
      <w:r>
        <w:rPr>
          <w:rFonts w:ascii="Sylfaen" w:hAnsi="Sylfaen"/>
          <w:sz w:val="24"/>
        </w:rPr>
        <w:t>՝ նոր հանցագործություն կատարելու</w:t>
      </w:r>
      <w:r w:rsidRPr="008F0B67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 xml:space="preserve">գնով </w:t>
      </w:r>
      <w:r w:rsidRPr="008F0B67">
        <w:rPr>
          <w:rFonts w:ascii="Sylfaen" w:hAnsi="Sylfaen"/>
          <w:sz w:val="24"/>
        </w:rPr>
        <w:t xml:space="preserve">(ի դեմս 3-րդ հոդվածի խախտման) </w:t>
      </w:r>
      <w:r w:rsidR="0022414F" w:rsidRPr="0022414F">
        <w:rPr>
          <w:rFonts w:ascii="Sylfaen" w:hAnsi="Sylfaen"/>
          <w:sz w:val="24"/>
        </w:rPr>
        <w:t>«</w:t>
      </w:r>
      <w:r w:rsidRPr="008F0B67">
        <w:rPr>
          <w:rFonts w:ascii="Sylfaen" w:hAnsi="Sylfaen"/>
          <w:sz w:val="24"/>
        </w:rPr>
        <w:t>գործեր բացահայտելու</w:t>
      </w:r>
      <w:r w:rsidR="0022414F" w:rsidRPr="0022414F">
        <w:rPr>
          <w:rFonts w:ascii="Sylfaen" w:hAnsi="Sylfaen"/>
          <w:sz w:val="24"/>
        </w:rPr>
        <w:t>»</w:t>
      </w:r>
      <w:r w:rsidRPr="008F0B67">
        <w:rPr>
          <w:rFonts w:ascii="Sylfaen" w:hAnsi="Sylfaen"/>
          <w:sz w:val="24"/>
        </w:rPr>
        <w:t xml:space="preserve"> մղում: 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Այսպիսով, խնդրահարույց դաշտն ամբողջովին կարգավորելու համար սույն Ծրագիրը չէր կարող սահմանափակվել միայն օրենսդրական, կամ միայն իրավակիրառական բնույթի առաջարկներ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մշակելով</w:t>
      </w:r>
      <w:r>
        <w:rPr>
          <w:rFonts w:ascii="Sylfaen" w:hAnsi="Sylfaen"/>
          <w:sz w:val="24"/>
        </w:rPr>
        <w:t>: Խ</w:t>
      </w:r>
      <w:r w:rsidRPr="008F0B67">
        <w:rPr>
          <w:rFonts w:ascii="Sylfaen" w:hAnsi="Sylfaen"/>
          <w:sz w:val="24"/>
        </w:rPr>
        <w:t xml:space="preserve">ոշտանգման արգելքի ապահովման խնդրին </w:t>
      </w:r>
      <w:r w:rsidR="00F56CD4">
        <w:rPr>
          <w:rFonts w:ascii="Sylfaen" w:hAnsi="Sylfaen"/>
          <w:sz w:val="24"/>
        </w:rPr>
        <w:t xml:space="preserve">անհրաժեշտ </w:t>
      </w:r>
      <w:r>
        <w:rPr>
          <w:rFonts w:ascii="Sylfaen" w:hAnsi="Sylfaen"/>
          <w:sz w:val="24"/>
        </w:rPr>
        <w:t xml:space="preserve">էր </w:t>
      </w:r>
      <w:r w:rsidRPr="008F0B67">
        <w:rPr>
          <w:rFonts w:ascii="Sylfaen" w:hAnsi="Sylfaen"/>
          <w:sz w:val="24"/>
        </w:rPr>
        <w:t>տալ միասնական լուծում՝ թե</w:t>
      </w:r>
      <w:r w:rsidR="00F56CD4">
        <w:rPr>
          <w:rFonts w:hint="eastAsia"/>
          <w:sz w:val="24"/>
          <w:lang w:eastAsia="zh-CN"/>
        </w:rPr>
        <w:t>ˊ</w:t>
      </w:r>
      <w:r w:rsidRPr="008F0B67">
        <w:rPr>
          <w:rFonts w:ascii="Sylfaen" w:hAnsi="Sylfaen"/>
          <w:sz w:val="24"/>
        </w:rPr>
        <w:t xml:space="preserve"> օրենսդրական, և թե՝ իրավակիրառ, մասնավորապաս</w:t>
      </w:r>
      <w:r>
        <w:rPr>
          <w:rFonts w:ascii="Sylfaen" w:hAnsi="Sylfaen"/>
          <w:sz w:val="24"/>
          <w:lang w:val="ru-RU"/>
        </w:rPr>
        <w:t>՝</w:t>
      </w:r>
      <w:r w:rsidRPr="008F0B67">
        <w:rPr>
          <w:rFonts w:ascii="Sylfaen" w:hAnsi="Sylfaen"/>
          <w:sz w:val="24"/>
        </w:rPr>
        <w:t xml:space="preserve"> դատական պրակտիկայի մակարդակով: 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  <w:lang w:val="ru-RU"/>
        </w:rPr>
        <w:t>Վերոգրյալից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ելնելով</w:t>
      </w:r>
      <w:r>
        <w:rPr>
          <w:rFonts w:ascii="Sylfaen" w:hAnsi="Sylfaen"/>
          <w:sz w:val="24"/>
        </w:rPr>
        <w:t>, Ծրագիրն իրականացվեց երկու խումբ գործողությունների միջոցով. 1</w:t>
      </w:r>
      <w:r w:rsidRPr="00FA1A46">
        <w:rPr>
          <w:rFonts w:ascii="Sylfaen" w:hAnsi="Sylfaen"/>
          <w:sz w:val="24"/>
        </w:rPr>
        <w:t xml:space="preserve">) </w:t>
      </w:r>
      <w:r w:rsidRPr="00FA1A46">
        <w:rPr>
          <w:rFonts w:ascii="Sylfaen" w:hAnsi="Sylfaen"/>
          <w:b/>
          <w:sz w:val="24"/>
        </w:rPr>
        <w:t>«</w:t>
      </w:r>
      <w:r w:rsidRPr="00FA1A46">
        <w:rPr>
          <w:rFonts w:ascii="Sylfaen" w:hAnsi="Sylfaen"/>
          <w:b/>
          <w:sz w:val="24"/>
          <w:lang w:val="ru-RU"/>
        </w:rPr>
        <w:t>Խոշտանգումների</w:t>
      </w:r>
      <w:r w:rsidRPr="00FA1A46">
        <w:rPr>
          <w:rFonts w:ascii="Sylfaen" w:hAnsi="Sylfaen"/>
          <w:b/>
          <w:sz w:val="24"/>
        </w:rPr>
        <w:t xml:space="preserve"> </w:t>
      </w:r>
      <w:r w:rsidRPr="00FA1A46">
        <w:rPr>
          <w:rFonts w:ascii="Sylfaen" w:hAnsi="Sylfaen"/>
          <w:b/>
          <w:sz w:val="24"/>
          <w:lang w:val="ru-RU"/>
        </w:rPr>
        <w:t>դեմ</w:t>
      </w:r>
      <w:r w:rsidRPr="00FA1A46">
        <w:rPr>
          <w:rFonts w:ascii="Sylfaen" w:hAnsi="Sylfaen"/>
          <w:b/>
          <w:sz w:val="24"/>
        </w:rPr>
        <w:t xml:space="preserve"> </w:t>
      </w:r>
      <w:r w:rsidRPr="00FA1A46">
        <w:rPr>
          <w:rFonts w:ascii="Sylfaen" w:hAnsi="Sylfaen"/>
          <w:b/>
          <w:sz w:val="24"/>
          <w:lang w:val="ru-RU"/>
        </w:rPr>
        <w:t>պայքարում</w:t>
      </w:r>
      <w:r w:rsidRPr="00FA1A46">
        <w:rPr>
          <w:rFonts w:ascii="Sylfaen" w:hAnsi="Sylfaen"/>
          <w:b/>
          <w:sz w:val="24"/>
        </w:rPr>
        <w:t xml:space="preserve"> </w:t>
      </w:r>
      <w:r w:rsidRPr="00FA1A46">
        <w:rPr>
          <w:rFonts w:ascii="Sylfaen" w:hAnsi="Sylfaen"/>
          <w:b/>
          <w:sz w:val="24"/>
          <w:lang w:val="ru-RU"/>
        </w:rPr>
        <w:t>անհրաժեշտ</w:t>
      </w:r>
      <w:r w:rsidRPr="00FA1A46">
        <w:rPr>
          <w:rFonts w:ascii="Sylfaen" w:hAnsi="Sylfaen"/>
          <w:b/>
          <w:sz w:val="24"/>
        </w:rPr>
        <w:t xml:space="preserve"> </w:t>
      </w:r>
      <w:r w:rsidRPr="00FA1A46">
        <w:rPr>
          <w:rFonts w:ascii="Sylfaen" w:hAnsi="Sylfaen"/>
          <w:b/>
          <w:sz w:val="24"/>
          <w:lang w:val="ru-RU"/>
        </w:rPr>
        <w:t>օ</w:t>
      </w:r>
      <w:r w:rsidRPr="00FA1A46">
        <w:rPr>
          <w:rFonts w:ascii="Sylfaen" w:hAnsi="Sylfaen"/>
          <w:b/>
          <w:sz w:val="24"/>
        </w:rPr>
        <w:t xml:space="preserve">րենսդրական </w:t>
      </w:r>
      <w:r w:rsidRPr="00FA1A46">
        <w:rPr>
          <w:rFonts w:ascii="Sylfaen" w:hAnsi="Sylfaen"/>
          <w:b/>
          <w:sz w:val="24"/>
          <w:lang w:val="ru-RU"/>
        </w:rPr>
        <w:t>բարեփոխումների</w:t>
      </w:r>
      <w:r w:rsidRPr="00FA1A46">
        <w:rPr>
          <w:rFonts w:ascii="Sylfaen" w:hAnsi="Sylfaen"/>
          <w:b/>
          <w:sz w:val="24"/>
        </w:rPr>
        <w:t xml:space="preserve"> </w:t>
      </w:r>
      <w:r w:rsidRPr="00FA1A46">
        <w:rPr>
          <w:rFonts w:ascii="Sylfaen" w:hAnsi="Sylfaen"/>
          <w:b/>
          <w:sz w:val="24"/>
          <w:lang w:val="ru-RU"/>
        </w:rPr>
        <w:t>փաթեթ</w:t>
      </w:r>
      <w:r w:rsidRPr="00FA1A46">
        <w:rPr>
          <w:rFonts w:ascii="Sylfaen" w:hAnsi="Sylfaen"/>
          <w:b/>
          <w:sz w:val="24"/>
        </w:rPr>
        <w:t>ի»</w:t>
      </w:r>
      <w:r>
        <w:rPr>
          <w:rFonts w:ascii="Sylfaen" w:hAnsi="Sylfaen"/>
          <w:sz w:val="24"/>
        </w:rPr>
        <w:t xml:space="preserve"> </w:t>
      </w:r>
      <w:r w:rsidRPr="00FA1A46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</w:rPr>
        <w:t xml:space="preserve">այսուհետ՝ </w:t>
      </w:r>
      <w:r w:rsidRPr="00FA1A46">
        <w:rPr>
          <w:rFonts w:ascii="Sylfaen" w:hAnsi="Sylfaen"/>
          <w:sz w:val="24"/>
        </w:rPr>
        <w:t>«</w:t>
      </w:r>
      <w:r>
        <w:rPr>
          <w:rFonts w:ascii="Sylfaen" w:hAnsi="Sylfaen"/>
          <w:sz w:val="24"/>
        </w:rPr>
        <w:t>Օրենսդրական փաթեթ</w:t>
      </w:r>
      <w:r w:rsidRPr="00FA1A46">
        <w:rPr>
          <w:rFonts w:ascii="Sylfaen" w:hAnsi="Sylfaen"/>
          <w:sz w:val="24"/>
        </w:rPr>
        <w:t>»)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մշակում, և 2</w:t>
      </w:r>
      <w:r w:rsidRPr="00FA1A46">
        <w:rPr>
          <w:rFonts w:ascii="Sylfaen" w:hAnsi="Sylfaen"/>
          <w:sz w:val="24"/>
        </w:rPr>
        <w:t xml:space="preserve">) </w:t>
      </w:r>
      <w:r>
        <w:rPr>
          <w:rFonts w:ascii="Sylfaen" w:hAnsi="Sylfaen"/>
          <w:b/>
          <w:sz w:val="24"/>
        </w:rPr>
        <w:t>«Խ</w:t>
      </w:r>
      <w:r w:rsidRPr="00374B36">
        <w:rPr>
          <w:rFonts w:ascii="Sylfaen" w:hAnsi="Sylfaen"/>
          <w:b/>
          <w:sz w:val="24"/>
        </w:rPr>
        <w:t>ոշտանգումների դեմ պայքարի ուղղությամբ ՀՀ միջազգային պարտավորությունները կատարելու վերաբերյալ</w:t>
      </w:r>
      <w:r>
        <w:rPr>
          <w:rFonts w:ascii="Sylfaen" w:hAnsi="Sylfaen"/>
          <w:b/>
          <w:sz w:val="24"/>
        </w:rPr>
        <w:t xml:space="preserve"> Դատական ուղեցույցի» </w:t>
      </w:r>
      <w:r w:rsidRPr="00FA1A46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  <w:lang w:val="ru-RU"/>
        </w:rPr>
        <w:t>այսուհետ՝</w:t>
      </w:r>
      <w:r w:rsidRPr="00BE38EF">
        <w:rPr>
          <w:rFonts w:ascii="Sylfaen" w:hAnsi="Sylfaen"/>
          <w:sz w:val="24"/>
        </w:rPr>
        <w:t xml:space="preserve"> </w:t>
      </w:r>
      <w:r w:rsidRPr="00FA1A46">
        <w:rPr>
          <w:rFonts w:ascii="Sylfaen" w:hAnsi="Sylfaen"/>
          <w:sz w:val="24"/>
        </w:rPr>
        <w:t>«</w:t>
      </w:r>
      <w:r>
        <w:rPr>
          <w:rFonts w:ascii="Sylfaen" w:hAnsi="Sylfaen"/>
          <w:sz w:val="24"/>
        </w:rPr>
        <w:t>Դատական ուղեցույց</w:t>
      </w:r>
      <w:r w:rsidRPr="00FA1A46">
        <w:rPr>
          <w:rFonts w:ascii="Sylfaen" w:hAnsi="Sylfaen"/>
          <w:sz w:val="24"/>
        </w:rPr>
        <w:t>»)</w:t>
      </w:r>
      <w:r>
        <w:rPr>
          <w:rFonts w:ascii="Sylfaen" w:hAnsi="Sylfaen"/>
          <w:sz w:val="24"/>
        </w:rPr>
        <w:t xml:space="preserve"> մշակում: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DA105E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 xml:space="preserve">Օրենսդրական փաթեթի մեջ ընդգրկված են կոնկրետ օրենսդրական նախաձեռնությունների առաջարկներն ու դրանց հիմնավորումները՝ կապված ՀՀ քրեական օրենսգրքի </w:t>
      </w:r>
      <w:r w:rsidRPr="00FA1A46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</w:rPr>
        <w:t>այսուհետ՝ ՔՕ</w:t>
      </w:r>
      <w:r w:rsidRPr="00FA1A46">
        <w:rPr>
          <w:rFonts w:ascii="Sylfaen" w:hAnsi="Sylfaen"/>
          <w:sz w:val="24"/>
        </w:rPr>
        <w:t>)</w:t>
      </w:r>
      <w:r>
        <w:rPr>
          <w:rFonts w:ascii="Sylfaen" w:hAnsi="Sylfaen"/>
          <w:sz w:val="24"/>
        </w:rPr>
        <w:t>,</w:t>
      </w:r>
      <w:r w:rsidRPr="00FA1A46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 xml:space="preserve">ՀՀ քրեական դատավարության օրենսգրքի </w:t>
      </w:r>
      <w:r w:rsidRPr="00FA1A46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</w:rPr>
        <w:t>այսուհետ՝ ՔԴՕ</w:t>
      </w:r>
      <w:r w:rsidRPr="00FA1A46">
        <w:rPr>
          <w:rFonts w:ascii="Sylfaen" w:hAnsi="Sylfaen"/>
          <w:sz w:val="24"/>
        </w:rPr>
        <w:t>)</w:t>
      </w:r>
      <w:r>
        <w:rPr>
          <w:rFonts w:ascii="Sylfaen" w:hAnsi="Sylfaen"/>
          <w:sz w:val="24"/>
        </w:rPr>
        <w:t xml:space="preserve">, ՀՀ քրեակատարողական օրենսգրքի </w:t>
      </w:r>
      <w:r w:rsidRPr="00FA1A46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</w:rPr>
        <w:t>այսուհետ՝ ՔԿՕ</w:t>
      </w:r>
      <w:r w:rsidRPr="00FA1A46">
        <w:rPr>
          <w:rFonts w:ascii="Sylfaen" w:hAnsi="Sylfaen"/>
          <w:sz w:val="24"/>
        </w:rPr>
        <w:t>)</w:t>
      </w:r>
      <w:r>
        <w:rPr>
          <w:rFonts w:ascii="Sylfaen" w:hAnsi="Sylfaen"/>
          <w:sz w:val="24"/>
        </w:rPr>
        <w:t xml:space="preserve">, այլ օրենքների, ինչպես նաև՝ ենթաօրենսդրական ակտերի բարեփոխման հետ: Դատական ուղեցույցում, դարձյալ միջազգային չափորոշիչների համադրելի </w:t>
      </w:r>
      <w:r>
        <w:rPr>
          <w:rFonts w:ascii="Sylfaen" w:hAnsi="Sylfaen"/>
          <w:sz w:val="24"/>
        </w:rPr>
        <w:lastRenderedPageBreak/>
        <w:t>վերլուծությա</w:t>
      </w:r>
      <w:r>
        <w:rPr>
          <w:rFonts w:ascii="Sylfaen" w:hAnsi="Sylfaen"/>
          <w:sz w:val="24"/>
          <w:lang w:val="ru-RU"/>
        </w:rPr>
        <w:t>ն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հիման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վրա</w:t>
      </w:r>
      <w:r>
        <w:rPr>
          <w:rFonts w:ascii="Sylfaen" w:hAnsi="Sylfaen"/>
          <w:sz w:val="24"/>
        </w:rPr>
        <w:t>, առաջարկվում են կոնկր</w:t>
      </w:r>
      <w:r>
        <w:rPr>
          <w:rFonts w:ascii="Sylfaen" w:hAnsi="Sylfaen"/>
          <w:sz w:val="24"/>
          <w:lang w:val="ru-RU"/>
        </w:rPr>
        <w:t>ե</w:t>
      </w:r>
      <w:r>
        <w:rPr>
          <w:rFonts w:ascii="Sylfaen" w:hAnsi="Sylfaen"/>
          <w:sz w:val="24"/>
        </w:rPr>
        <w:t>տ գործողություններ, որոնք պետք է իրականացվեն դատարանների կողմից քրեական դատավարության տարբեր փուլերում</w:t>
      </w:r>
      <w:r w:rsidRPr="00BE38EF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մասնավորապես</w:t>
      </w:r>
      <w:r w:rsidRPr="00BE38EF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այն</w:t>
      </w:r>
      <w:r w:rsidRPr="00BE38EF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դեպքերում</w:t>
      </w:r>
      <w:r w:rsidRPr="00BE38EF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երբ՝</w:t>
      </w:r>
    </w:p>
    <w:p w:rsidR="00DA105E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գործի դատական քննության ժամանակ միջնորդություն է արվում խոշտանգման</w:t>
      </w:r>
      <w:r>
        <w:rPr>
          <w:rStyle w:val="FootnoteReference"/>
          <w:rFonts w:ascii="Sylfaen" w:hAnsi="Sylfaen"/>
          <w:sz w:val="24"/>
        </w:rPr>
        <w:footnoteReference w:id="2"/>
      </w:r>
      <w:r>
        <w:rPr>
          <w:rFonts w:ascii="Sylfaen" w:hAnsi="Sylfaen"/>
          <w:sz w:val="24"/>
        </w:rPr>
        <w:t xml:space="preserve"> հիմքով ապացույցն անթույլատրելի ճանաչելու մասին,</w:t>
      </w:r>
    </w:p>
    <w:p w:rsidR="00DA105E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դատարանին է բողոքարկվում խոշտանգման ենթադրյալ փաստի առթիվ քրեական գործի հարուցումը մերժելու մասին որոշումը կամ հարուցված քրեական գործը կարճելու/քրեական հետապնդումը դադարեցնելու մասին որոշումը,</w:t>
      </w:r>
    </w:p>
    <w:p w:rsidR="00DA105E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ինչպես նաև՝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 xml:space="preserve">երբ քրեական գործը խոշտանգման մեղադրանքով քննվում է դատարանում: 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</w:p>
    <w:p w:rsidR="00BB6AF7" w:rsidRPr="00FA1A46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Քանի որ դատարաններն են իրավունքի պաշտպանության ազգային միջոցները, ապա Դատական ուղեցույցում ներկայացվում է միջազգային չափորոշիչների համաձայն ՀՀ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ունեցած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պարտավորությունների ամբողջական ցիկլը՝ խոշտանգումների վտանգը նյութականանալու կանխումից սկսած մինչև խոշտանգման համար մեղավոր ճանաչված անձանց նկատմամբ արդյունավետ, զսպող և համաչափ պատիժ նշանակելը և ի կատար ածելը</w:t>
      </w:r>
      <w:r w:rsidRPr="00A923CB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ինչպես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նաև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խոշտանգման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զոհերին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հատուցում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տալը</w:t>
      </w:r>
      <w:r>
        <w:rPr>
          <w:rFonts w:ascii="Sylfaen" w:hAnsi="Sylfaen"/>
          <w:sz w:val="24"/>
        </w:rPr>
        <w:t>:</w:t>
      </w:r>
    </w:p>
    <w:p w:rsidR="00BB6AF7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 xml:space="preserve"> </w:t>
      </w:r>
    </w:p>
    <w:p w:rsidR="00BB6AF7" w:rsidRPr="00F679DC" w:rsidRDefault="00BB6AF7" w:rsidP="00BB6AF7">
      <w:pPr>
        <w:spacing w:line="288" w:lineRule="auto"/>
        <w:jc w:val="both"/>
        <w:rPr>
          <w:rFonts w:ascii="Sylfaen" w:hAnsi="Sylfaen"/>
          <w:sz w:val="24"/>
        </w:rPr>
      </w:pPr>
      <w:r>
        <w:rPr>
          <w:rFonts w:ascii="Sylfaen" w:hAnsi="Sylfaen"/>
          <w:sz w:val="24"/>
        </w:rPr>
        <w:t>Առաջարկվում է նաև, որպեսզի դատարանները հնարավորության սահմաններում կիրառեն օրենսդրական փաթեթում զետեղված չափորոշիչները՝ մինչև դրանց ամբողջական արտացոլումը ՀՀ օրենսդրության մեջ՝ ղեկավարվելով ՀՀ Սահմանադրության 6-րդ հոդված</w:t>
      </w:r>
      <w:r>
        <w:rPr>
          <w:rFonts w:ascii="Sylfaen" w:hAnsi="Sylfaen"/>
          <w:sz w:val="24"/>
          <w:lang w:val="ru-RU"/>
        </w:rPr>
        <w:t>ի</w:t>
      </w:r>
      <w:r w:rsidRPr="002A0A6A">
        <w:rPr>
          <w:rFonts w:ascii="Sylfaen" w:hAnsi="Sylfaen"/>
          <w:sz w:val="24"/>
        </w:rPr>
        <w:t xml:space="preserve"> 1-</w:t>
      </w:r>
      <w:r>
        <w:rPr>
          <w:rFonts w:ascii="Sylfaen" w:hAnsi="Sylfaen"/>
          <w:sz w:val="24"/>
          <w:lang w:val="ru-RU"/>
        </w:rPr>
        <w:t>ին</w:t>
      </w:r>
      <w:r w:rsidRPr="002A0A6A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և</w:t>
      </w:r>
      <w:r w:rsidRPr="002A0A6A">
        <w:rPr>
          <w:rFonts w:ascii="Sylfaen" w:hAnsi="Sylfaen"/>
          <w:sz w:val="24"/>
        </w:rPr>
        <w:t xml:space="preserve"> 4-</w:t>
      </w:r>
      <w:r>
        <w:rPr>
          <w:rFonts w:ascii="Sylfaen" w:hAnsi="Sylfaen"/>
          <w:sz w:val="24"/>
          <w:lang w:val="ru-RU"/>
        </w:rPr>
        <w:t>րդ</w:t>
      </w:r>
      <w:r w:rsidRPr="002A0A6A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մասերով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նախատեսված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վավերացված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միջազգային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պայմանագրերում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առկա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միջազգային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նորմերի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անմիջական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ու</w:t>
      </w:r>
      <w:r w:rsidRPr="002A0A6A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գերակա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ներգործության</w:t>
      </w:r>
      <w:r w:rsidRPr="00A923CB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  <w:lang w:val="ru-RU"/>
        </w:rPr>
        <w:t>ինչպես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նաև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ՀՀ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Դատական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օրենսգրքի</w:t>
      </w:r>
      <w:r w:rsidRPr="00A923CB">
        <w:rPr>
          <w:rFonts w:ascii="Sylfaen" w:hAnsi="Sylfaen"/>
          <w:sz w:val="24"/>
        </w:rPr>
        <w:t xml:space="preserve"> 15-</w:t>
      </w:r>
      <w:r>
        <w:rPr>
          <w:rFonts w:ascii="Sylfaen" w:hAnsi="Sylfaen"/>
          <w:sz w:val="24"/>
          <w:lang w:val="ru-RU"/>
        </w:rPr>
        <w:t>րդ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հոդված</w:t>
      </w:r>
      <w:r>
        <w:rPr>
          <w:rFonts w:ascii="Sylfaen" w:hAnsi="Sylfaen"/>
          <w:sz w:val="24"/>
        </w:rPr>
        <w:t xml:space="preserve">ի 4-րդ մասով երաշխավորված ՄԻԵԴ դատական ակտերի հիմնավորումների </w:t>
      </w:r>
      <w:r w:rsidRPr="00A923CB">
        <w:rPr>
          <w:rFonts w:ascii="Sylfaen" w:hAnsi="Sylfaen"/>
          <w:sz w:val="24"/>
        </w:rPr>
        <w:t>(</w:t>
      </w:r>
      <w:r>
        <w:rPr>
          <w:rFonts w:ascii="Sylfaen" w:hAnsi="Sylfaen"/>
          <w:sz w:val="24"/>
        </w:rPr>
        <w:t>այդ թվում՝ մեկնաբանությունների</w:t>
      </w:r>
      <w:r w:rsidRPr="00A923CB">
        <w:rPr>
          <w:rFonts w:ascii="Sylfaen" w:hAnsi="Sylfaen"/>
          <w:sz w:val="24"/>
        </w:rPr>
        <w:t>)</w:t>
      </w:r>
      <w:r>
        <w:rPr>
          <w:rFonts w:ascii="Sylfaen" w:hAnsi="Sylfaen"/>
          <w:sz w:val="24"/>
        </w:rPr>
        <w:t xml:space="preserve"> ՀՀ դատարանների համար պարտադիր լինելու </w:t>
      </w:r>
      <w:r w:rsidR="00DA105E">
        <w:rPr>
          <w:rFonts w:ascii="Sylfaen" w:hAnsi="Sylfaen"/>
          <w:sz w:val="24"/>
        </w:rPr>
        <w:t>սկզբունքներով</w:t>
      </w:r>
      <w:r>
        <w:rPr>
          <w:rFonts w:ascii="Sylfaen" w:hAnsi="Sylfaen"/>
          <w:sz w:val="24"/>
        </w:rPr>
        <w:t xml:space="preserve">: </w:t>
      </w:r>
      <w:r>
        <w:rPr>
          <w:rFonts w:ascii="Sylfaen" w:hAnsi="Sylfaen"/>
          <w:sz w:val="24"/>
          <w:lang w:val="ru-RU"/>
        </w:rPr>
        <w:t>Մյուս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  <w:lang w:val="ru-RU"/>
        </w:rPr>
        <w:t>կողմից</w:t>
      </w:r>
      <w:r w:rsidRPr="00A923CB">
        <w:rPr>
          <w:rFonts w:ascii="Sylfaen" w:hAnsi="Sylfaen"/>
          <w:sz w:val="24"/>
        </w:rPr>
        <w:t xml:space="preserve">, </w:t>
      </w:r>
      <w:r>
        <w:rPr>
          <w:rFonts w:ascii="Sylfaen" w:hAnsi="Sylfaen"/>
          <w:sz w:val="24"/>
        </w:rPr>
        <w:t>օրենսդրական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նախաձեռնության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սուբյեկտները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կարող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են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Դատական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ուղեցույցում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տեղ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գտած՝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իրավակիրառ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պրակտիկայի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բարելավմանն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ուղղված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գործնական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առաջարկներ</w:t>
      </w:r>
      <w:r w:rsidR="00DA105E">
        <w:rPr>
          <w:rFonts w:ascii="Sylfaen" w:hAnsi="Sylfaen"/>
          <w:sz w:val="24"/>
        </w:rPr>
        <w:t>ն</w:t>
      </w:r>
      <w:r w:rsidRPr="00A923CB">
        <w:rPr>
          <w:rFonts w:ascii="Sylfaen" w:hAnsi="Sylfaen"/>
          <w:sz w:val="24"/>
        </w:rPr>
        <w:t xml:space="preserve"> </w:t>
      </w:r>
      <w:r w:rsidR="00DA105E">
        <w:rPr>
          <w:rFonts w:ascii="Sylfaen" w:hAnsi="Sylfaen"/>
          <w:sz w:val="24"/>
        </w:rPr>
        <w:t>ներկայացնել</w:t>
      </w:r>
      <w:r w:rsidR="006F5A4D">
        <w:rPr>
          <w:rFonts w:ascii="Sylfaen" w:hAnsi="Sylfaen"/>
          <w:sz w:val="24"/>
        </w:rPr>
        <w:t>, առաջադրել</w:t>
      </w:r>
      <w:r w:rsidR="00DA105E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օրենսդրական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նախաձեռնությունների</w:t>
      </w:r>
      <w:r w:rsidRPr="00A923CB">
        <w:rPr>
          <w:rFonts w:ascii="Sylfaen" w:hAnsi="Sylfaen"/>
          <w:sz w:val="24"/>
        </w:rPr>
        <w:t xml:space="preserve"> </w:t>
      </w:r>
      <w:r>
        <w:rPr>
          <w:rFonts w:ascii="Sylfaen" w:hAnsi="Sylfaen"/>
          <w:sz w:val="24"/>
        </w:rPr>
        <w:t>տեսքով</w:t>
      </w:r>
      <w:r w:rsidRPr="00A923CB">
        <w:rPr>
          <w:rFonts w:ascii="Sylfaen" w:hAnsi="Sylfaen"/>
          <w:sz w:val="24"/>
        </w:rPr>
        <w:t xml:space="preserve">: </w:t>
      </w:r>
    </w:p>
    <w:p w:rsidR="00AC37FD" w:rsidRDefault="00AC37FD" w:rsidP="00B95DD6">
      <w:pPr>
        <w:spacing w:line="288" w:lineRule="auto"/>
      </w:pPr>
    </w:p>
    <w:sectPr w:rsidR="00AC37FD" w:rsidSect="00BB6AF7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0E2" w:rsidRDefault="000350E2" w:rsidP="00BB6AF7">
      <w:r>
        <w:separator/>
      </w:r>
    </w:p>
  </w:endnote>
  <w:endnote w:type="continuationSeparator" w:id="0">
    <w:p w:rsidR="000350E2" w:rsidRDefault="000350E2" w:rsidP="00BB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42389"/>
      <w:docPartObj>
        <w:docPartGallery w:val="Page Numbers (Bottom of Page)"/>
        <w:docPartUnique/>
      </w:docPartObj>
    </w:sdtPr>
    <w:sdtEndPr/>
    <w:sdtContent>
      <w:p w:rsidR="00BB6AF7" w:rsidRDefault="001E4512">
        <w:pPr>
          <w:pStyle w:val="Footer"/>
          <w:jc w:val="right"/>
        </w:pPr>
        <w:r>
          <w:fldChar w:fldCharType="begin"/>
        </w:r>
        <w:r w:rsidR="00910AB4">
          <w:instrText xml:space="preserve"> PAGE   \* MERGEFORMAT </w:instrText>
        </w:r>
        <w:r>
          <w:fldChar w:fldCharType="separate"/>
        </w:r>
        <w:r w:rsidR="007575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B6AF7" w:rsidRDefault="00BB6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0E2" w:rsidRDefault="000350E2" w:rsidP="00BB6AF7">
      <w:r>
        <w:separator/>
      </w:r>
    </w:p>
  </w:footnote>
  <w:footnote w:type="continuationSeparator" w:id="0">
    <w:p w:rsidR="000350E2" w:rsidRDefault="000350E2" w:rsidP="00BB6AF7">
      <w:r>
        <w:continuationSeparator/>
      </w:r>
    </w:p>
  </w:footnote>
  <w:footnote w:id="1">
    <w:p w:rsidR="00BB6AF7" w:rsidRPr="00A923CB" w:rsidRDefault="00BB6AF7" w:rsidP="00BB6AF7">
      <w:pPr>
        <w:pStyle w:val="FootnoteText"/>
        <w:rPr>
          <w:rFonts w:ascii="Sylfaen" w:hAnsi="Sylfaen"/>
        </w:rPr>
      </w:pPr>
      <w:r w:rsidRPr="00A923CB">
        <w:rPr>
          <w:rStyle w:val="FootnoteReference"/>
          <w:rFonts w:ascii="Sylfaen" w:hAnsi="Sylfaen"/>
        </w:rPr>
        <w:footnoteRef/>
      </w:r>
      <w:r w:rsidRPr="00A923CB">
        <w:rPr>
          <w:rFonts w:ascii="Sylfaen" w:hAnsi="Sylfaen"/>
        </w:rPr>
        <w:t xml:space="preserve"> </w:t>
      </w:r>
      <w:r w:rsidR="0022414F" w:rsidRPr="0022414F">
        <w:rPr>
          <w:rFonts w:ascii="Sylfaen" w:hAnsi="Sylfaen"/>
        </w:rPr>
        <w:t>«</w:t>
      </w:r>
      <w:r w:rsidRPr="00A923CB">
        <w:rPr>
          <w:rFonts w:ascii="Sylfaen" w:hAnsi="Sylfaen"/>
        </w:rPr>
        <w:t>Խոշտանգում</w:t>
      </w:r>
      <w:r w:rsidR="0022414F" w:rsidRPr="0022414F">
        <w:rPr>
          <w:rFonts w:ascii="Sylfaen" w:hAnsi="Sylfaen"/>
        </w:rPr>
        <w:t>»</w:t>
      </w:r>
      <w:r w:rsidRPr="00A923CB">
        <w:rPr>
          <w:rFonts w:ascii="Sylfaen" w:hAnsi="Sylfaen"/>
        </w:rPr>
        <w:t xml:space="preserve"> եզրույթը հետագա շարադրանքում օգտագործվում է ըստ համատեքստի՝ ներառելով նաև այլ վատ վերաբերմունքի դրսևորումները ևս:</w:t>
      </w:r>
    </w:p>
  </w:footnote>
  <w:footnote w:id="2">
    <w:p w:rsidR="006B6F20" w:rsidRDefault="00BB6AF7">
      <w:pPr>
        <w:pStyle w:val="FootnoteText"/>
        <w:jc w:val="both"/>
        <w:rPr>
          <w:rFonts w:ascii="Sylfaen" w:hAnsi="Sylfaen"/>
        </w:rPr>
      </w:pPr>
      <w:r w:rsidRPr="00A923CB">
        <w:rPr>
          <w:rStyle w:val="FootnoteReference"/>
          <w:rFonts w:ascii="Sylfaen" w:hAnsi="Sylfaen"/>
        </w:rPr>
        <w:footnoteRef/>
      </w:r>
      <w:r w:rsidRPr="00A923CB">
        <w:rPr>
          <w:rFonts w:ascii="Sylfaen" w:hAnsi="Sylfaen"/>
        </w:rPr>
        <w:t xml:space="preserve"> </w:t>
      </w:r>
      <w:r w:rsidRPr="00A923CB">
        <w:rPr>
          <w:rFonts w:ascii="Sylfaen" w:hAnsi="Sylfaen"/>
          <w:lang w:val="ru-RU"/>
        </w:rPr>
        <w:t>Այսուհետ՝</w:t>
      </w:r>
      <w:r w:rsidRPr="00A923CB">
        <w:rPr>
          <w:rFonts w:ascii="Sylfaen" w:hAnsi="Sylfaen"/>
        </w:rPr>
        <w:t xml:space="preserve"> «</w:t>
      </w:r>
      <w:r>
        <w:rPr>
          <w:rFonts w:ascii="Sylfaen" w:hAnsi="Sylfaen"/>
          <w:lang w:val="ru-RU"/>
        </w:rPr>
        <w:t>խոշտանգում</w:t>
      </w:r>
      <w:r w:rsidRPr="00A923CB">
        <w:rPr>
          <w:rFonts w:ascii="Sylfaen" w:hAnsi="Sylfaen"/>
        </w:rPr>
        <w:t xml:space="preserve">» </w:t>
      </w:r>
      <w:r>
        <w:rPr>
          <w:rFonts w:ascii="Sylfaen" w:hAnsi="Sylfaen"/>
          <w:lang w:val="ru-RU"/>
        </w:rPr>
        <w:t>եզրույթի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ներքո</w:t>
      </w:r>
      <w:r w:rsidRPr="00A923CB">
        <w:rPr>
          <w:rFonts w:ascii="Sylfaen" w:hAnsi="Sylfaen"/>
        </w:rPr>
        <w:t xml:space="preserve">, </w:t>
      </w:r>
      <w:r>
        <w:rPr>
          <w:rFonts w:ascii="Sylfaen" w:hAnsi="Sylfaen"/>
          <w:lang w:val="ru-RU"/>
        </w:rPr>
        <w:t>եթե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այլ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բան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ուղղակիորեն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չի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բխում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համատեքստից</w:t>
      </w:r>
      <w:r w:rsidRPr="00A923CB">
        <w:rPr>
          <w:rFonts w:ascii="Sylfaen" w:hAnsi="Sylfaen"/>
        </w:rPr>
        <w:t xml:space="preserve">, </w:t>
      </w:r>
      <w:r>
        <w:rPr>
          <w:rFonts w:ascii="Sylfaen" w:hAnsi="Sylfaen"/>
          <w:lang w:val="ru-RU"/>
        </w:rPr>
        <w:t>ի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նկատի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են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ունեցվում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վատ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վերաբերմունքի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մյուս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դրսևորումները</w:t>
      </w:r>
      <w:r w:rsidRPr="00A923CB">
        <w:rPr>
          <w:rFonts w:ascii="Sylfaen" w:hAnsi="Sylfaen"/>
        </w:rPr>
        <w:t xml:space="preserve">, </w:t>
      </w:r>
      <w:r>
        <w:rPr>
          <w:rFonts w:ascii="Sylfaen" w:hAnsi="Sylfaen"/>
          <w:lang w:val="ru-RU"/>
        </w:rPr>
        <w:t>այն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է՝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անմարդկային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և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արժանապատվությունը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նսեմացնող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վերաբերմունքը</w:t>
      </w:r>
      <w:r w:rsidRPr="00A923CB">
        <w:rPr>
          <w:rFonts w:ascii="Sylfaen" w:hAnsi="Sylfaen"/>
        </w:rPr>
        <w:t xml:space="preserve"> </w:t>
      </w:r>
      <w:r>
        <w:rPr>
          <w:rFonts w:ascii="Sylfaen" w:hAnsi="Sylfaen"/>
          <w:lang w:val="ru-RU"/>
        </w:rPr>
        <w:t>և</w:t>
      </w:r>
      <w:r w:rsidR="001233B9" w:rsidRPr="001233B9">
        <w:rPr>
          <w:lang w:eastAsia="zh-CN"/>
        </w:rPr>
        <w:t>ˊ</w:t>
      </w:r>
      <w:r>
        <w:rPr>
          <w:rFonts w:ascii="Sylfaen" w:hAnsi="Sylfaen"/>
          <w:lang w:val="ru-RU"/>
        </w:rPr>
        <w:t>ս</w:t>
      </w:r>
      <w:r w:rsidRPr="00A923CB">
        <w:rPr>
          <w:rFonts w:ascii="Sylfaen" w:hAnsi="Sylfaen"/>
        </w:rPr>
        <w:t xml:space="preserve">: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D2303"/>
    <w:multiLevelType w:val="hybridMultilevel"/>
    <w:tmpl w:val="DB18E8DE"/>
    <w:lvl w:ilvl="0" w:tplc="162ACE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AF7"/>
    <w:rsid w:val="00004D1A"/>
    <w:rsid w:val="000350E2"/>
    <w:rsid w:val="000625AB"/>
    <w:rsid w:val="001233B9"/>
    <w:rsid w:val="001342BA"/>
    <w:rsid w:val="00141B31"/>
    <w:rsid w:val="001E4512"/>
    <w:rsid w:val="0021546A"/>
    <w:rsid w:val="0022414F"/>
    <w:rsid w:val="005F3013"/>
    <w:rsid w:val="006A0A1C"/>
    <w:rsid w:val="006B6F20"/>
    <w:rsid w:val="006F5A4D"/>
    <w:rsid w:val="0075753B"/>
    <w:rsid w:val="007E3DA3"/>
    <w:rsid w:val="00910AB4"/>
    <w:rsid w:val="00AC37FD"/>
    <w:rsid w:val="00B95DD6"/>
    <w:rsid w:val="00BB5EBE"/>
    <w:rsid w:val="00BB6AF7"/>
    <w:rsid w:val="00DA105E"/>
    <w:rsid w:val="00E37887"/>
    <w:rsid w:val="00F10EB8"/>
    <w:rsid w:val="00F56CD4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7E492-2C26-4DCE-9A12-CF8BFA42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B6AF7"/>
    <w:pPr>
      <w:ind w:left="720"/>
      <w:contextualSpacing/>
    </w:pPr>
  </w:style>
  <w:style w:type="paragraph" w:styleId="FootnoteText">
    <w:name w:val="footnote text"/>
    <w:basedOn w:val="Normal"/>
    <w:link w:val="a"/>
    <w:unhideWhenUsed/>
    <w:rsid w:val="00BB6AF7"/>
  </w:style>
  <w:style w:type="character" w:customStyle="1" w:styleId="a">
    <w:name w:val="Текст сноски Знак"/>
    <w:basedOn w:val="DefaultParagraphFont"/>
    <w:link w:val="FootnoteText"/>
    <w:rsid w:val="00BB6AF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nhideWhenUsed/>
    <w:rsid w:val="00BB6AF7"/>
    <w:rPr>
      <w:vertAlign w:val="superscript"/>
    </w:rPr>
  </w:style>
  <w:style w:type="paragraph" w:styleId="Header">
    <w:name w:val="header"/>
    <w:basedOn w:val="Normal"/>
    <w:link w:val="a0"/>
    <w:uiPriority w:val="99"/>
    <w:semiHidden/>
    <w:unhideWhenUsed/>
    <w:rsid w:val="00BB6AF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BB6AF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a1"/>
    <w:uiPriority w:val="99"/>
    <w:unhideWhenUsed/>
    <w:rsid w:val="00BB6AF7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B6AF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56CD4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F56CD4"/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F56CD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F56CD4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F56CD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a4"/>
    <w:uiPriority w:val="99"/>
    <w:semiHidden/>
    <w:unhideWhenUsed/>
    <w:rsid w:val="00F56C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56CD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BCB91-BC6A-49E9-B5F2-2F998C588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1063</Words>
  <Characters>6064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Ara Ghazaryan</cp:lastModifiedBy>
  <cp:revision>2</cp:revision>
  <dcterms:created xsi:type="dcterms:W3CDTF">2020-04-27T16:46:00Z</dcterms:created>
  <dcterms:modified xsi:type="dcterms:W3CDTF">2020-04-27T16:46:00Z</dcterms:modified>
</cp:coreProperties>
</file>