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18D" w:rsidRPr="002D2BC2" w:rsidRDefault="005A318D" w:rsidP="005A318D">
      <w:pPr>
        <w:spacing w:before="240" w:after="60"/>
        <w:jc w:val="center"/>
        <w:outlineLvl w:val="0"/>
        <w:rPr>
          <w:rFonts w:ascii="Cambria" w:eastAsia="Times New Roman" w:hAnsi="Cambria" w:cs="Times New Roman"/>
          <w:b/>
          <w:bCs/>
          <w:kern w:val="28"/>
          <w:sz w:val="28"/>
          <w:szCs w:val="28"/>
          <w:lang w:val="ru-RU"/>
        </w:rPr>
      </w:pPr>
      <w:r w:rsidRPr="005A318D">
        <w:rPr>
          <w:rFonts w:ascii="Sylfaen" w:eastAsia="Times New Roman" w:hAnsi="Sylfaen" w:cs="Sylfaen"/>
          <w:b/>
          <w:bCs/>
          <w:kern w:val="28"/>
          <w:sz w:val="28"/>
          <w:szCs w:val="28"/>
          <w:lang w:val="ru-RU"/>
        </w:rPr>
        <w:t>Խնդիր</w:t>
      </w:r>
      <w:r w:rsidRPr="005A318D">
        <w:rPr>
          <w:rFonts w:ascii="Cambria" w:eastAsia="Times New Roman" w:hAnsi="Cambria" w:cs="Times New Roman"/>
          <w:b/>
          <w:bCs/>
          <w:kern w:val="28"/>
          <w:sz w:val="28"/>
          <w:szCs w:val="28"/>
          <w:lang w:val="ru-RU"/>
        </w:rPr>
        <w:t xml:space="preserve">  </w:t>
      </w:r>
      <w:r w:rsidR="002D2BC2">
        <w:rPr>
          <w:rFonts w:ascii="Sylfaen" w:eastAsia="Times New Roman" w:hAnsi="Sylfaen" w:cs="Times New Roman"/>
          <w:b/>
          <w:bCs/>
          <w:kern w:val="28"/>
          <w:sz w:val="28"/>
          <w:szCs w:val="28"/>
          <w:lang w:val="ru-RU"/>
        </w:rPr>
        <w:t>1</w:t>
      </w:r>
    </w:p>
    <w:p w:rsidR="005A318D" w:rsidRPr="002D2BC2" w:rsidRDefault="005A318D" w:rsidP="005A318D">
      <w:pPr>
        <w:spacing w:after="0"/>
        <w:ind w:firstLine="360"/>
        <w:jc w:val="both"/>
        <w:rPr>
          <w:rFonts w:ascii="Sylfaen" w:eastAsia="Times New Roman" w:hAnsi="Sylfaen" w:cs="Times New Roman"/>
          <w:sz w:val="24"/>
          <w:szCs w:val="24"/>
          <w:lang w:val="ru-RU"/>
        </w:rPr>
      </w:pP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>1975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թ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>.-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ից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մինչև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1990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թ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.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դիմողը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աշխատում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էր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Լիտվայի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bCs/>
          <w:sz w:val="24"/>
          <w:szCs w:val="24"/>
        </w:rPr>
        <w:t>Ա</w:t>
      </w:r>
      <w:r w:rsidRPr="005A318D">
        <w:rPr>
          <w:rFonts w:ascii="Sylfaen" w:eastAsia="Times New Roman" w:hAnsi="Sylfaen" w:cs="Times New Roman"/>
          <w:bCs/>
          <w:sz w:val="24"/>
          <w:szCs w:val="24"/>
          <w:lang w:val="ru-RU"/>
        </w:rPr>
        <w:t>զգային</w:t>
      </w:r>
      <w:r w:rsidRPr="002D2BC2">
        <w:rPr>
          <w:rFonts w:ascii="Sylfaen" w:eastAsia="Times New Roman" w:hAnsi="Sylfaen" w:cs="Times New Roman"/>
          <w:bCs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bCs/>
          <w:sz w:val="24"/>
          <w:szCs w:val="24"/>
          <w:lang w:val="ru-RU"/>
        </w:rPr>
        <w:t>անվտանգության</w:t>
      </w:r>
      <w:r w:rsidRPr="002D2BC2">
        <w:rPr>
          <w:rFonts w:ascii="Sylfaen" w:eastAsia="Times New Roman" w:hAnsi="Sylfaen" w:cs="Times New Roman"/>
          <w:bCs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bCs/>
          <w:sz w:val="24"/>
          <w:szCs w:val="24"/>
          <w:lang w:val="ru-RU"/>
        </w:rPr>
        <w:t>կոմիտե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ում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(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ԿԳԲ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>): 1990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թ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.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Լիտվայի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անկախության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հռչակումից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հետո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նա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աշխատանքի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անցավ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Ֆինանսների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նախարարությունում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որպես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հարկային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տեսուչ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>: 1998</w:t>
      </w:r>
      <w:r w:rsidR="00843ECD"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="00843ECD">
        <w:rPr>
          <w:rFonts w:ascii="Sylfaen" w:eastAsia="Times New Roman" w:hAnsi="Sylfaen" w:cs="Times New Roman"/>
          <w:sz w:val="24"/>
          <w:szCs w:val="24"/>
          <w:lang w:val="en-GB"/>
        </w:rPr>
        <w:t>թվականին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,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երբ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դիմողը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դեռ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աշխատում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էր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որպես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հարկային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տեսուչ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,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Լիտվայի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Խորհրդարանը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օրենք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ընդունեց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(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հայտնի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է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որպես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ԿԳԲ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>-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ակտ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),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որով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ԿԳԲ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>-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ճանաչվեց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Լիտվայի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տարածքում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մարդկության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դեմ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հանցագործություններ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(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պա</w:t>
      </w:r>
      <w:bookmarkStart w:id="0" w:name="_GoBack"/>
      <w:bookmarkEnd w:id="0"/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տերազմի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հանցագործություններ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,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ցեղասպանություն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,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ռեպրեսիա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,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տեռորիզմ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և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քաղաքական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հետապնդում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)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կատարած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հանցավոր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կազմակեպություն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,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և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այդ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հիմքով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հայտարա</w:t>
      </w:r>
      <w:r w:rsidR="00843ECD">
        <w:rPr>
          <w:rFonts w:ascii="Sylfaen" w:eastAsia="Times New Roman" w:hAnsi="Sylfaen" w:cs="Times New Roman"/>
          <w:sz w:val="24"/>
          <w:szCs w:val="24"/>
          <w:lang w:val="en-GB"/>
        </w:rPr>
        <w:t>ր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վեց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,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տվյալ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օրենքի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ընդունումից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հետո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10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տարվա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ժամանակահատվածում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(1999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թ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>.-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ից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մինչև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2009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թ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.)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նախկին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ԿԳԲ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>-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բոլոր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աշխատակիցներին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արգելվում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էր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աշխատանքի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անցնել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որպես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հանրային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ծառայողներ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կամ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քաղաքացիական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ծառայողներ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հետևյալ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ոլորտներում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. </w:t>
      </w:r>
    </w:p>
    <w:p w:rsidR="005A318D" w:rsidRPr="002D2BC2" w:rsidRDefault="005A318D" w:rsidP="005A318D">
      <w:pPr>
        <w:spacing w:after="0"/>
        <w:ind w:left="708" w:firstLine="709"/>
        <w:jc w:val="both"/>
        <w:rPr>
          <w:rFonts w:ascii="Sylfaen" w:eastAsia="Times New Roman" w:hAnsi="Sylfaen" w:cs="Times New Roman"/>
          <w:i/>
          <w:sz w:val="24"/>
          <w:szCs w:val="24"/>
          <w:lang w:val="ru-RU"/>
        </w:rPr>
      </w:pPr>
    </w:p>
    <w:tbl>
      <w:tblPr>
        <w:tblStyle w:val="TableGrid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60"/>
      </w:tblGrid>
      <w:tr w:rsidR="000A3724" w:rsidRPr="002D2BC2" w:rsidTr="000A3724">
        <w:tc>
          <w:tcPr>
            <w:tcW w:w="8760" w:type="dxa"/>
          </w:tcPr>
          <w:p w:rsidR="000A3724" w:rsidRPr="002D2BC2" w:rsidRDefault="000A3724" w:rsidP="000A3724">
            <w:pPr>
              <w:jc w:val="both"/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Պետական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տեղական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կամ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պաշտպանության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մարմիններում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Պետական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պաշտպանության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նախարարությունում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ոստիկանությունում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դատախազությունում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դատական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կամ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դիվանագիտական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մարմիններում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մաքսային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մարմիններում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Պետական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վերահսկողական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և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հանրային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ինստիտուտների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նկատմամբ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վերահսկողություն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իրականացող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այլ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մարմիններում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որպես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փաստաբաններ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կամ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նոտարներ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>մասնավոր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>պետական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բանկերի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կամ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այլ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կրեդիտային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ինստիտուտների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աշխատակիցներ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տնտեսական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ոլորտում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ստրատեգիական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նշանակության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ծրագրերի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իրականացմանը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պաշտպանության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մարմիններում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կամ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հետախուզական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գործունեություն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իրականացնող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այլ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կազմակերպություններում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կապի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համակարգում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կամ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կրթական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համակարգում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որպես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ուսուցիչներ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կամ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ուսումնական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հաստատությունների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տնօրեններ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նաև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չեն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կարող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կատարել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այնպիսի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աշխատանք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որը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պահանջում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է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զենք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i/>
                <w:sz w:val="24"/>
                <w:szCs w:val="24"/>
                <w:lang w:val="en-GB"/>
              </w:rPr>
              <w:t>կրել</w:t>
            </w:r>
            <w:r w:rsidRPr="002D2BC2">
              <w:rPr>
                <w:rFonts w:ascii="Sylfaen" w:eastAsia="Times New Roman" w:hAnsi="Sylfaen" w:cs="Times New Roman"/>
                <w:i/>
                <w:sz w:val="24"/>
                <w:szCs w:val="24"/>
                <w:lang w:val="ru-RU"/>
              </w:rPr>
              <w:t>:</w:t>
            </w:r>
          </w:p>
        </w:tc>
      </w:tr>
    </w:tbl>
    <w:p w:rsidR="005A318D" w:rsidRPr="002D2BC2" w:rsidRDefault="005A318D" w:rsidP="005A318D">
      <w:pPr>
        <w:spacing w:after="0"/>
        <w:ind w:left="708" w:firstLine="709"/>
        <w:jc w:val="both"/>
        <w:rPr>
          <w:rFonts w:ascii="Sylfaen" w:eastAsia="Times New Roman" w:hAnsi="Sylfaen" w:cs="Times New Roman"/>
          <w:i/>
          <w:sz w:val="24"/>
          <w:szCs w:val="24"/>
          <w:lang w:val="ru-RU"/>
        </w:rPr>
      </w:pPr>
    </w:p>
    <w:p w:rsidR="005A318D" w:rsidRPr="002D2BC2" w:rsidRDefault="005A318D" w:rsidP="005A318D">
      <w:pPr>
        <w:spacing w:after="0"/>
        <w:ind w:firstLine="709"/>
        <w:jc w:val="both"/>
        <w:rPr>
          <w:rFonts w:ascii="Sylfaen" w:eastAsia="Times New Roman" w:hAnsi="Sylfaen" w:cs="Times New Roman"/>
          <w:sz w:val="24"/>
          <w:szCs w:val="24"/>
          <w:lang w:val="ru-RU"/>
        </w:rPr>
      </w:pP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Օրենքը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նաև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սահմանում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էր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բացառություն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,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համաձայն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որի՝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այդ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սահմանափակումները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չէին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տարածվում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նախկին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ԿԳԲ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այն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աշխատակիցների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վրա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,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որոնք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որպես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ԿԳԲ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>-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աշխատակիցներ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իրականացրել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էին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քրեական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հետապնդում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և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հետաքննել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միայն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քրեական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գործեր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,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և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որոնք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ԿԳԲ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>-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հետ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իրենց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աշխատանքը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դադարեցրել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էին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մինչև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1990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թ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մարտը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: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Վերջապես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,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համաձայն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օրենքի՝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յուրաքանչյուր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անհատական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գործով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հանրային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ծառայողներից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և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հասարակական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կազմակերպությունների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անդամներից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բաղկացած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հատուկ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Հանձնաժողովի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կողմից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պետք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է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ընդունվեր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առանձին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որոշում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: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Իր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որոշումը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ընդունելիս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Հանձնաժողովը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պետք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է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հիմնվեր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ԿԳԲ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>-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պաշտոնների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ցուցակի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վրա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,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որով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սահմանվում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էր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անձի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կարգավիճակը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որպես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նախկին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ԿԳԲ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>-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աշխատակից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: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Ցուցակը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ընդունվել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էր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կառավարության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հրամանով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: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Թվարկված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էին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ընդհանուր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առմամբ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395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տարբեր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պաշտոններ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: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Այսպիսով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>, «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նախկին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ԿԳԲ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>-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աշխատակից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»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կարգավիճակին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համապատասխանող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յուրաքանչյուր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ոք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ինքնաբերաբար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ենթակա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էր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հեռացման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>:</w:t>
      </w:r>
    </w:p>
    <w:p w:rsidR="005A318D" w:rsidRPr="005A318D" w:rsidRDefault="005A318D" w:rsidP="005A318D">
      <w:pPr>
        <w:spacing w:after="0"/>
        <w:ind w:firstLine="709"/>
        <w:jc w:val="both"/>
        <w:rPr>
          <w:rFonts w:ascii="Sylfaen" w:eastAsia="Times New Roman" w:hAnsi="Sylfaen" w:cs="Times New Roman"/>
          <w:sz w:val="24"/>
          <w:szCs w:val="24"/>
          <w:lang w:val="hy-AM"/>
        </w:rPr>
      </w:pP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lastRenderedPageBreak/>
        <w:t>1999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թ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.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մայիսին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Հանձնաժողովը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եզրակացրեց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,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դիմողի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նկատմամբ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կիրառելի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էին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օրենքով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սահմանված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հիմքերը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քանի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նա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դասակարգվում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էր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որպես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«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ԿԳԲ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>-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նախկին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աշխատակցի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»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կարգավիճակ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ունեցող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անձ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>: 1999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թ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.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հունիսին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դիմողը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ազատվեց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աշխատանքից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: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Դիմողը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հիշյալ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որոշումը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բողոքարկեց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դատարան՝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պնդելով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,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թեև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լինելով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նախկին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ԿԳԲ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>-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աշխատակից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,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ինքը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միայն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հակահետախուզական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և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պրոպագանդիստական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աշխատանքներ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է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իրականացրել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և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որպես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այդպիսին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չի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մասնակցել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մարդու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իրավունքների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խախտման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դեպքերին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: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Նա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նաև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պնդում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էր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,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օրենքը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չափից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ավելի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լայն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սահմանափակումներ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էր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նախատեսում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անձնական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ոլորտում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,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ինչը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աշխատանքի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ընտրության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ազատության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իրավունքի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անհամաչափ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սահմանափակում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էր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: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Գործը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քննող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դատարանը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,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ինչպես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նաև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բոլոր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վերադաս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ատյանները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մերժել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են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նրա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բողոքը՝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հղում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կատարելով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նրա՝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ցուցակի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համաձայն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«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նախկին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ԿԳԲ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աշխատակցի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»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կարգավիճակ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ունենալու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 </w:t>
      </w:r>
      <w:r w:rsidRPr="005A318D">
        <w:rPr>
          <w:rFonts w:ascii="Sylfaen" w:eastAsia="Times New Roman" w:hAnsi="Sylfaen" w:cs="Times New Roman"/>
          <w:sz w:val="24"/>
          <w:szCs w:val="24"/>
          <w:lang w:val="en-GB"/>
        </w:rPr>
        <w:t>հանգամանքին</w:t>
      </w:r>
      <w:r w:rsidRPr="002D2BC2">
        <w:rPr>
          <w:rFonts w:ascii="Sylfaen" w:eastAsia="Times New Roman" w:hAnsi="Sylfaen" w:cs="Times New Roman"/>
          <w:sz w:val="24"/>
          <w:szCs w:val="24"/>
          <w:lang w:val="ru-RU"/>
        </w:rPr>
        <w:t xml:space="preserve">: </w:t>
      </w:r>
    </w:p>
    <w:p w:rsidR="005A318D" w:rsidRPr="005A318D" w:rsidRDefault="005A318D" w:rsidP="005A318D">
      <w:pPr>
        <w:spacing w:after="0"/>
        <w:ind w:firstLine="709"/>
        <w:jc w:val="both"/>
        <w:rPr>
          <w:rFonts w:ascii="Sylfaen" w:eastAsia="Times New Roman" w:hAnsi="Sylfaen" w:cs="Times New Roman"/>
          <w:lang w:val="hy-AM"/>
        </w:rPr>
      </w:pPr>
    </w:p>
    <w:tbl>
      <w:tblPr>
        <w:tblW w:w="8820" w:type="dxa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0"/>
      </w:tblGrid>
      <w:tr w:rsidR="005A318D" w:rsidRPr="002D2BC2" w:rsidTr="005B52F2">
        <w:tc>
          <w:tcPr>
            <w:tcW w:w="8820" w:type="dxa"/>
            <w:shd w:val="clear" w:color="auto" w:fill="DBE5F1"/>
          </w:tcPr>
          <w:p w:rsidR="005A318D" w:rsidRPr="005A318D" w:rsidRDefault="005A318D" w:rsidP="000A3724">
            <w:pPr>
              <w:numPr>
                <w:ilvl w:val="0"/>
                <w:numId w:val="1"/>
              </w:numPr>
              <w:spacing w:after="0"/>
              <w:ind w:left="432" w:hanging="27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b/>
                <w:color w:val="FF0000"/>
                <w:kern w:val="24"/>
                <w:lang w:val="en-GB"/>
              </w:rPr>
              <w:t>Կարգավորող</w:t>
            </w:r>
            <w:r w:rsidRPr="005A318D">
              <w:rPr>
                <w:rFonts w:ascii="Sylfaen" w:eastAsia="Times New Roman" w:hAnsi="Sylfaen" w:cs="Times New Roman"/>
                <w:color w:val="000000"/>
                <w:kern w:val="24"/>
                <w:lang w:val="en-GB"/>
              </w:rPr>
              <w:t xml:space="preserve"> նորմը</w:t>
            </w:r>
          </w:p>
          <w:p w:rsidR="005A318D" w:rsidRPr="005A318D" w:rsidRDefault="005A318D" w:rsidP="000A3724">
            <w:pPr>
              <w:numPr>
                <w:ilvl w:val="0"/>
                <w:numId w:val="6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lang w:val="ru-RU"/>
              </w:rPr>
              <w:t>ազգային նորմ</w:t>
            </w:r>
          </w:p>
          <w:p w:rsidR="005A318D" w:rsidRPr="005A318D" w:rsidRDefault="005A318D" w:rsidP="000A3724">
            <w:pPr>
              <w:numPr>
                <w:ilvl w:val="0"/>
                <w:numId w:val="6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lang w:val="ru-RU"/>
              </w:rPr>
              <w:t>միջազգային նորմ</w:t>
            </w:r>
          </w:p>
          <w:p w:rsidR="005A318D" w:rsidRPr="005A318D" w:rsidRDefault="005A318D" w:rsidP="000A3724">
            <w:pPr>
              <w:numPr>
                <w:ilvl w:val="0"/>
                <w:numId w:val="1"/>
              </w:numPr>
              <w:spacing w:after="0"/>
              <w:ind w:left="432" w:hanging="27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b/>
                <w:color w:val="FF0000"/>
                <w:kern w:val="24"/>
                <w:lang w:val="en-GB"/>
              </w:rPr>
              <w:t>Պաշտպանված</w:t>
            </w:r>
            <w:r w:rsidRPr="005A318D">
              <w:rPr>
                <w:rFonts w:ascii="Sylfaen" w:eastAsia="Times New Roman" w:hAnsi="Sylfaen" w:cs="Times New Roman"/>
                <w:color w:val="FF0000"/>
                <w:kern w:val="24"/>
                <w:lang w:val="en-GB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color w:val="000000"/>
                <w:kern w:val="24"/>
                <w:lang w:val="en-GB"/>
              </w:rPr>
              <w:t>հատկանիշը</w:t>
            </w:r>
          </w:p>
          <w:p w:rsidR="005A318D" w:rsidRPr="005A318D" w:rsidRDefault="005A318D" w:rsidP="000A3724">
            <w:pPr>
              <w:numPr>
                <w:ilvl w:val="0"/>
                <w:numId w:val="7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lang w:val="ru-RU"/>
              </w:rPr>
              <w:t>սեռ</w:t>
            </w:r>
          </w:p>
          <w:p w:rsidR="005A318D" w:rsidRPr="005A318D" w:rsidRDefault="005A318D" w:rsidP="000A3724">
            <w:pPr>
              <w:numPr>
                <w:ilvl w:val="0"/>
                <w:numId w:val="7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lang w:val="ru-RU"/>
              </w:rPr>
              <w:t>տարիք</w:t>
            </w:r>
          </w:p>
          <w:p w:rsidR="005A318D" w:rsidRPr="005A318D" w:rsidRDefault="005A318D" w:rsidP="000A3724">
            <w:pPr>
              <w:numPr>
                <w:ilvl w:val="0"/>
                <w:numId w:val="7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lang w:val="ru-RU"/>
              </w:rPr>
              <w:t>և այլն</w:t>
            </w:r>
          </w:p>
          <w:p w:rsidR="005A318D" w:rsidRPr="005A318D" w:rsidRDefault="005A318D" w:rsidP="000A3724">
            <w:pPr>
              <w:numPr>
                <w:ilvl w:val="0"/>
                <w:numId w:val="1"/>
              </w:numPr>
              <w:spacing w:after="0"/>
              <w:ind w:left="432" w:hanging="27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b/>
                <w:color w:val="FF0000"/>
                <w:kern w:val="24"/>
                <w:lang w:val="en-GB"/>
              </w:rPr>
              <w:t>Խտրականության տեսակը</w:t>
            </w:r>
          </w:p>
          <w:p w:rsidR="005A318D" w:rsidRPr="005A318D" w:rsidRDefault="005A318D" w:rsidP="000A3724">
            <w:pPr>
              <w:numPr>
                <w:ilvl w:val="0"/>
                <w:numId w:val="8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lang w:val="ru-RU"/>
              </w:rPr>
              <w:t>ուղղակի խտրականություն</w:t>
            </w:r>
          </w:p>
          <w:p w:rsidR="005A318D" w:rsidRPr="005A318D" w:rsidRDefault="005A318D" w:rsidP="000A3724">
            <w:pPr>
              <w:numPr>
                <w:ilvl w:val="0"/>
                <w:numId w:val="8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lang w:val="ru-RU"/>
              </w:rPr>
              <w:t>անուղղակի խտրականություն</w:t>
            </w:r>
          </w:p>
          <w:p w:rsidR="005A318D" w:rsidRPr="005A318D" w:rsidRDefault="005A318D" w:rsidP="000A3724">
            <w:pPr>
              <w:numPr>
                <w:ilvl w:val="0"/>
                <w:numId w:val="8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lang w:val="ru-RU"/>
              </w:rPr>
              <w:t>և այլն</w:t>
            </w:r>
          </w:p>
          <w:p w:rsidR="005A318D" w:rsidRPr="005A318D" w:rsidRDefault="005A318D" w:rsidP="000A3724">
            <w:pPr>
              <w:numPr>
                <w:ilvl w:val="0"/>
                <w:numId w:val="1"/>
              </w:numPr>
              <w:spacing w:after="0"/>
              <w:ind w:left="432" w:hanging="27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b/>
                <w:color w:val="FF0000"/>
                <w:kern w:val="24"/>
                <w:lang w:val="en-GB"/>
              </w:rPr>
              <w:t>Համեմատական</w:t>
            </w:r>
            <w:r w:rsidRPr="005A318D">
              <w:rPr>
                <w:rFonts w:ascii="Sylfaen" w:eastAsia="Times New Roman" w:hAnsi="Sylfaen" w:cs="Times New Roman"/>
                <w:color w:val="FF0000"/>
                <w:kern w:val="24"/>
                <w:lang w:val="en-GB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color w:val="000000"/>
                <w:kern w:val="24"/>
                <w:lang w:val="en-GB"/>
              </w:rPr>
              <w:t>եզրը</w:t>
            </w:r>
          </w:p>
          <w:p w:rsidR="005A318D" w:rsidRPr="005A318D" w:rsidRDefault="005A318D" w:rsidP="000A3724">
            <w:pPr>
              <w:numPr>
                <w:ilvl w:val="0"/>
                <w:numId w:val="5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lang w:val="ru-RU"/>
              </w:rPr>
              <w:t>տարբերակված վերաբերմունք</w:t>
            </w:r>
          </w:p>
          <w:p w:rsidR="005A318D" w:rsidRPr="005A318D" w:rsidRDefault="005A318D" w:rsidP="000A3724">
            <w:pPr>
              <w:numPr>
                <w:ilvl w:val="0"/>
                <w:numId w:val="5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lang w:val="ru-RU"/>
              </w:rPr>
              <w:t>էապես նույնանման իրավիճակ</w:t>
            </w:r>
          </w:p>
          <w:p w:rsidR="005A318D" w:rsidRPr="005A318D" w:rsidRDefault="005A318D" w:rsidP="000A3724">
            <w:pPr>
              <w:numPr>
                <w:ilvl w:val="0"/>
                <w:numId w:val="1"/>
              </w:numPr>
              <w:spacing w:after="0"/>
              <w:ind w:left="432" w:hanging="27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b/>
                <w:color w:val="FF0000"/>
                <w:kern w:val="24"/>
                <w:lang w:val="en-GB"/>
              </w:rPr>
              <w:t>Բացառության</w:t>
            </w:r>
            <w:r w:rsidRPr="005A318D">
              <w:rPr>
                <w:rFonts w:ascii="Sylfaen" w:eastAsia="Times New Roman" w:hAnsi="Sylfaen" w:cs="Times New Roman"/>
                <w:color w:val="FF0000"/>
                <w:kern w:val="24"/>
                <w:lang w:val="en-GB"/>
              </w:rPr>
              <w:t xml:space="preserve"> </w:t>
            </w:r>
            <w:r w:rsidRPr="005A318D">
              <w:rPr>
                <w:rFonts w:ascii="Sylfaen" w:eastAsia="Times New Roman" w:hAnsi="Sylfaen" w:cs="Times New Roman"/>
                <w:color w:val="000000"/>
                <w:kern w:val="24"/>
                <w:lang w:val="en-GB"/>
              </w:rPr>
              <w:t>առկայությունը</w:t>
            </w:r>
          </w:p>
          <w:p w:rsidR="005A318D" w:rsidRPr="005A318D" w:rsidRDefault="005A318D" w:rsidP="000A3724">
            <w:pPr>
              <w:numPr>
                <w:ilvl w:val="0"/>
                <w:numId w:val="9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lang w:val="ru-RU"/>
              </w:rPr>
              <w:t>կառուցողական գործողություն</w:t>
            </w:r>
          </w:p>
          <w:p w:rsidR="005A318D" w:rsidRPr="005A318D" w:rsidRDefault="005A318D" w:rsidP="000A3724">
            <w:pPr>
              <w:numPr>
                <w:ilvl w:val="0"/>
                <w:numId w:val="9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lang w:val="ru-RU"/>
              </w:rPr>
              <w:t>աշխատանքին ներհատուկ պահանջ</w:t>
            </w:r>
          </w:p>
          <w:p w:rsidR="005A318D" w:rsidRPr="005A318D" w:rsidRDefault="005A318D" w:rsidP="000A3724">
            <w:pPr>
              <w:numPr>
                <w:ilvl w:val="0"/>
                <w:numId w:val="9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lang w:val="ru-RU"/>
              </w:rPr>
              <w:t>ողջամիտ հարմարություն</w:t>
            </w:r>
          </w:p>
          <w:p w:rsidR="005A318D" w:rsidRPr="005A318D" w:rsidRDefault="005A318D" w:rsidP="000A3724">
            <w:pPr>
              <w:numPr>
                <w:ilvl w:val="0"/>
                <w:numId w:val="1"/>
              </w:numPr>
              <w:spacing w:after="0"/>
              <w:ind w:left="432" w:hanging="27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b/>
                <w:color w:val="FF0000"/>
                <w:lang w:val="ru-RU"/>
              </w:rPr>
              <w:t xml:space="preserve">Օրինականության </w:t>
            </w:r>
            <w:r w:rsidRPr="005A318D">
              <w:rPr>
                <w:rFonts w:ascii="Sylfaen" w:eastAsia="Times New Roman" w:hAnsi="Sylfaen" w:cs="Times New Roman"/>
                <w:lang w:val="ru-RU"/>
              </w:rPr>
              <w:t>սկզբունքը</w:t>
            </w:r>
          </w:p>
          <w:p w:rsidR="005A318D" w:rsidRPr="005A318D" w:rsidRDefault="005A318D" w:rsidP="000A3724">
            <w:pPr>
              <w:numPr>
                <w:ilvl w:val="0"/>
                <w:numId w:val="10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lang w:val="ru-RU"/>
              </w:rPr>
              <w:t>օրենքով սահմանված կարգով</w:t>
            </w:r>
          </w:p>
          <w:p w:rsidR="005A318D" w:rsidRPr="005A318D" w:rsidRDefault="005A318D" w:rsidP="000A3724">
            <w:pPr>
              <w:numPr>
                <w:ilvl w:val="0"/>
                <w:numId w:val="10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lang w:val="ru-RU"/>
              </w:rPr>
              <w:t>օրենքի որոշակիություն և մատչելիություն</w:t>
            </w:r>
          </w:p>
          <w:p w:rsidR="005A318D" w:rsidRPr="005A318D" w:rsidRDefault="005A318D" w:rsidP="000A3724">
            <w:pPr>
              <w:numPr>
                <w:ilvl w:val="0"/>
                <w:numId w:val="1"/>
              </w:numPr>
              <w:spacing w:after="0"/>
              <w:ind w:left="432" w:hanging="27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b/>
                <w:color w:val="FF0000"/>
                <w:lang w:val="ru-RU"/>
              </w:rPr>
              <w:t>Նպատակի լեգիտիմությունը</w:t>
            </w:r>
            <w:r w:rsidRPr="005A318D">
              <w:rPr>
                <w:rFonts w:ascii="Sylfaen" w:eastAsia="Times New Roman" w:hAnsi="Sylfaen" w:cs="Times New Roman"/>
                <w:color w:val="FF0000"/>
                <w:lang w:val="ru-RU"/>
              </w:rPr>
              <w:t xml:space="preserve"> </w:t>
            </w:r>
          </w:p>
          <w:p w:rsidR="005A318D" w:rsidRPr="005A318D" w:rsidRDefault="005A318D" w:rsidP="000A3724">
            <w:pPr>
              <w:numPr>
                <w:ilvl w:val="0"/>
                <w:numId w:val="4"/>
              </w:numPr>
              <w:spacing w:after="0"/>
              <w:ind w:left="882" w:hanging="27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lang w:val="ru-RU"/>
              </w:rPr>
              <w:t>օբյեկտիվ հիմքի առկայություն</w:t>
            </w:r>
          </w:p>
          <w:p w:rsidR="005A318D" w:rsidRPr="005A318D" w:rsidRDefault="005A318D" w:rsidP="000A3724">
            <w:pPr>
              <w:numPr>
                <w:ilvl w:val="0"/>
                <w:numId w:val="1"/>
              </w:numPr>
              <w:spacing w:after="0"/>
              <w:ind w:left="432" w:hanging="27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b/>
                <w:color w:val="FF0000"/>
                <w:lang w:val="ru-RU"/>
              </w:rPr>
              <w:t>Անհրաժեշտ է ժողովրդավարական հասարակարգում</w:t>
            </w:r>
          </w:p>
          <w:p w:rsidR="005A318D" w:rsidRPr="005A318D" w:rsidRDefault="005A318D" w:rsidP="000A3724">
            <w:pPr>
              <w:numPr>
                <w:ilvl w:val="0"/>
                <w:numId w:val="2"/>
              </w:numPr>
              <w:spacing w:after="0"/>
              <w:ind w:left="882" w:hanging="270"/>
              <w:contextualSpacing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color w:val="000000"/>
                <w:kern w:val="24"/>
                <w:lang w:val="ru-RU"/>
              </w:rPr>
              <w:t>հ</w:t>
            </w:r>
            <w:r w:rsidRPr="005A318D">
              <w:rPr>
                <w:rFonts w:ascii="Sylfaen" w:eastAsia="Times New Roman" w:hAnsi="Sylfaen" w:cs="Times New Roman"/>
                <w:color w:val="000000"/>
                <w:kern w:val="24"/>
                <w:lang w:val="en-GB"/>
              </w:rPr>
              <w:t>ամաչափ միջոցներ</w:t>
            </w:r>
          </w:p>
          <w:p w:rsidR="005A318D" w:rsidRPr="005A318D" w:rsidRDefault="005A318D" w:rsidP="000A3724">
            <w:pPr>
              <w:numPr>
                <w:ilvl w:val="0"/>
                <w:numId w:val="2"/>
              </w:numPr>
              <w:spacing w:after="0"/>
              <w:ind w:left="882" w:hanging="270"/>
              <w:contextualSpacing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color w:val="000000"/>
                <w:kern w:val="24"/>
                <w:lang w:val="ru-RU"/>
              </w:rPr>
              <w:t>անհրաժեշտ ու պիտանի միջոցներ</w:t>
            </w:r>
          </w:p>
          <w:p w:rsidR="005A318D" w:rsidRPr="005A318D" w:rsidRDefault="005A318D" w:rsidP="000A3724">
            <w:pPr>
              <w:numPr>
                <w:ilvl w:val="0"/>
                <w:numId w:val="2"/>
              </w:numPr>
              <w:spacing w:after="0"/>
              <w:ind w:left="882" w:hanging="27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5A318D">
              <w:rPr>
                <w:rFonts w:ascii="Sylfaen" w:eastAsia="Times New Roman" w:hAnsi="Sylfaen" w:cs="Times New Roman"/>
                <w:color w:val="000000"/>
                <w:kern w:val="24"/>
                <w:lang w:val="ru-RU"/>
              </w:rPr>
              <w:t>վ</w:t>
            </w:r>
            <w:r w:rsidRPr="005A318D">
              <w:rPr>
                <w:rFonts w:ascii="Sylfaen" w:eastAsia="Times New Roman" w:hAnsi="Sylfaen" w:cs="Times New Roman"/>
                <w:color w:val="000000"/>
                <w:kern w:val="24"/>
                <w:lang w:val="en-GB"/>
              </w:rPr>
              <w:t xml:space="preserve">երաբերելի ու բավարար միջոցներ </w:t>
            </w:r>
          </w:p>
          <w:p w:rsidR="000A3724" w:rsidRPr="005A318D" w:rsidRDefault="005A318D" w:rsidP="000A3724">
            <w:pPr>
              <w:numPr>
                <w:ilvl w:val="0"/>
                <w:numId w:val="3"/>
              </w:num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A318D">
              <w:rPr>
                <w:rFonts w:ascii="Sylfaen" w:eastAsia="Times New Roman" w:hAnsi="Sylfaen" w:cs="Sylfaen"/>
                <w:color w:val="000000"/>
                <w:kern w:val="24"/>
                <w:lang w:val="ru-RU"/>
              </w:rPr>
              <w:t>ռացիոնալ</w:t>
            </w:r>
            <w:r w:rsidRPr="005A318D">
              <w:rPr>
                <w:rFonts w:ascii="Calibri" w:eastAsia="Times New Roman" w:hAnsi="Calibri" w:cs="Times New Roman"/>
                <w:color w:val="000000"/>
                <w:kern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Sylfaen"/>
                <w:color w:val="000000"/>
                <w:kern w:val="24"/>
                <w:lang w:val="ru-RU"/>
              </w:rPr>
              <w:t>կապ</w:t>
            </w:r>
            <w:r w:rsidRPr="005A318D">
              <w:rPr>
                <w:rFonts w:ascii="Calibri" w:eastAsia="Times New Roman" w:hAnsi="Calibri" w:cs="Times New Roman"/>
                <w:color w:val="000000"/>
                <w:kern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Sylfaen"/>
                <w:color w:val="000000"/>
                <w:kern w:val="24"/>
                <w:lang w:val="ru-RU"/>
              </w:rPr>
              <w:t>նպատակի</w:t>
            </w:r>
            <w:r w:rsidRPr="005A318D">
              <w:rPr>
                <w:rFonts w:ascii="Calibri" w:eastAsia="Times New Roman" w:hAnsi="Calibri" w:cs="Times New Roman"/>
                <w:color w:val="000000"/>
                <w:kern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Sylfaen"/>
                <w:color w:val="000000"/>
                <w:kern w:val="24"/>
                <w:lang w:val="ru-RU"/>
              </w:rPr>
              <w:t>ու</w:t>
            </w:r>
            <w:r w:rsidRPr="005A318D">
              <w:rPr>
                <w:rFonts w:ascii="Calibri" w:eastAsia="Times New Roman" w:hAnsi="Calibri" w:cs="Times New Roman"/>
                <w:color w:val="000000"/>
                <w:kern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Sylfaen"/>
                <w:color w:val="000000"/>
                <w:kern w:val="24"/>
                <w:lang w:val="ru-RU"/>
              </w:rPr>
              <w:t>միջոցի</w:t>
            </w:r>
            <w:r w:rsidRPr="005A318D">
              <w:rPr>
                <w:rFonts w:ascii="Calibri" w:eastAsia="Times New Roman" w:hAnsi="Calibri" w:cs="Times New Roman"/>
                <w:color w:val="000000"/>
                <w:kern w:val="24"/>
                <w:lang w:val="ru-RU"/>
              </w:rPr>
              <w:t xml:space="preserve"> </w:t>
            </w:r>
            <w:r w:rsidRPr="005A318D">
              <w:rPr>
                <w:rFonts w:ascii="Sylfaen" w:eastAsia="Times New Roman" w:hAnsi="Sylfaen" w:cs="Sylfaen"/>
                <w:color w:val="000000"/>
                <w:kern w:val="24"/>
                <w:lang w:val="ru-RU"/>
              </w:rPr>
              <w:t>միջև</w:t>
            </w:r>
          </w:p>
        </w:tc>
      </w:tr>
    </w:tbl>
    <w:p w:rsidR="0035152E" w:rsidRPr="005A318D" w:rsidRDefault="0035152E">
      <w:pPr>
        <w:rPr>
          <w:lang w:val="ru-RU"/>
        </w:rPr>
      </w:pPr>
    </w:p>
    <w:sectPr w:rsidR="0035152E" w:rsidRPr="005A318D" w:rsidSect="000A3724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05C0D"/>
    <w:multiLevelType w:val="hybridMultilevel"/>
    <w:tmpl w:val="57B675E2"/>
    <w:lvl w:ilvl="0" w:tplc="CE88D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629A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8F80E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42D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4E09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0EAE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1440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CE31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6C6E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204DE6"/>
    <w:multiLevelType w:val="hybridMultilevel"/>
    <w:tmpl w:val="8DE4F45A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>
    <w:nsid w:val="2ABD419E"/>
    <w:multiLevelType w:val="hybridMultilevel"/>
    <w:tmpl w:val="160290FC"/>
    <w:lvl w:ilvl="0" w:tplc="04190003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</w:abstractNum>
  <w:abstractNum w:abstractNumId="3">
    <w:nsid w:val="31DA26D8"/>
    <w:multiLevelType w:val="hybridMultilevel"/>
    <w:tmpl w:val="ABA2FDD8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>
    <w:nsid w:val="4E18468D"/>
    <w:multiLevelType w:val="hybridMultilevel"/>
    <w:tmpl w:val="A6161FFC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5">
    <w:nsid w:val="5DD04B1D"/>
    <w:multiLevelType w:val="hybridMultilevel"/>
    <w:tmpl w:val="C0900C8C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>
    <w:nsid w:val="66F50860"/>
    <w:multiLevelType w:val="hybridMultilevel"/>
    <w:tmpl w:val="0534D996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7">
    <w:nsid w:val="6866675A"/>
    <w:multiLevelType w:val="hybridMultilevel"/>
    <w:tmpl w:val="5C9411AC"/>
    <w:lvl w:ilvl="0" w:tplc="737013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18E9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C224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AEA6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528D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5A7E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4E220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2CEB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0C21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7C80000D"/>
    <w:multiLevelType w:val="hybridMultilevel"/>
    <w:tmpl w:val="59127914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9">
    <w:nsid w:val="7EAE386D"/>
    <w:multiLevelType w:val="hybridMultilevel"/>
    <w:tmpl w:val="E98E967A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8"/>
  </w:num>
  <w:num w:numId="5">
    <w:abstractNumId w:val="4"/>
  </w:num>
  <w:num w:numId="6">
    <w:abstractNumId w:val="9"/>
  </w:num>
  <w:num w:numId="7">
    <w:abstractNumId w:val="5"/>
  </w:num>
  <w:num w:numId="8">
    <w:abstractNumId w:val="6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18D"/>
    <w:rsid w:val="000A3724"/>
    <w:rsid w:val="002D2BC2"/>
    <w:rsid w:val="0035152E"/>
    <w:rsid w:val="005A318D"/>
    <w:rsid w:val="0084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3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3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2016-03-02T13:08:00Z</dcterms:created>
  <dcterms:modified xsi:type="dcterms:W3CDTF">2016-03-02T13:55:00Z</dcterms:modified>
</cp:coreProperties>
</file>