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E00" w:rsidRDefault="00F14E00" w:rsidP="00F14E00">
      <w:pPr>
        <w:spacing w:after="120" w:line="276" w:lineRule="auto"/>
        <w:ind w:firstLine="360"/>
        <w:jc w:val="center"/>
        <w:outlineLvl w:val="1"/>
        <w:rPr>
          <w:rFonts w:ascii="GHEA Grapalat" w:eastAsia="Times New Roman" w:hAnsi="GHEA Grapalat" w:cs="Arial"/>
          <w:b/>
          <w:sz w:val="28"/>
          <w:szCs w:val="28"/>
          <w:lang w:val="hy-AM"/>
        </w:rPr>
      </w:pPr>
      <w:r>
        <w:rPr>
          <w:rFonts w:ascii="GHEA Grapalat" w:eastAsia="Times New Roman" w:hAnsi="GHEA Grapalat" w:cs="Arial"/>
          <w:b/>
          <w:sz w:val="28"/>
          <w:szCs w:val="28"/>
          <w:lang w:val="hy-AM"/>
        </w:rPr>
        <w:t>Իրավունակություն</w:t>
      </w:r>
      <w:bookmarkStart w:id="0" w:name="_GoBack"/>
      <w:bookmarkEnd w:id="0"/>
    </w:p>
    <w:p w:rsidR="00F14E00" w:rsidRDefault="00F14E00" w:rsidP="00F14E00">
      <w:pPr>
        <w:spacing w:after="120" w:line="276" w:lineRule="auto"/>
        <w:ind w:firstLine="360"/>
        <w:jc w:val="both"/>
        <w:outlineLvl w:val="1"/>
        <w:rPr>
          <w:rFonts w:ascii="GHEA Grapalat" w:eastAsia="Times New Roman" w:hAnsi="GHEA Grapalat" w:cs="Arial"/>
          <w:b/>
          <w:sz w:val="28"/>
          <w:szCs w:val="28"/>
          <w:lang w:val="hy-AM"/>
        </w:rPr>
      </w:pPr>
    </w:p>
    <w:p w:rsidR="00F14E00" w:rsidRPr="00F14E00" w:rsidRDefault="00F14E00" w:rsidP="00F14E00">
      <w:pPr>
        <w:spacing w:after="120" w:line="276" w:lineRule="auto"/>
        <w:ind w:firstLine="360"/>
        <w:jc w:val="both"/>
        <w:outlineLvl w:val="1"/>
        <w:rPr>
          <w:rFonts w:ascii="GHEA Grapalat" w:eastAsia="Times New Roman" w:hAnsi="GHEA Grapalat" w:cs="Arial"/>
          <w:sz w:val="28"/>
          <w:szCs w:val="28"/>
          <w:lang w:val="hy-AM"/>
        </w:rPr>
      </w:pPr>
      <w:r>
        <w:rPr>
          <w:rFonts w:ascii="GHEA Grapalat" w:eastAsia="Times New Roman" w:hAnsi="GHEA Grapalat" w:cs="Arial"/>
          <w:b/>
          <w:sz w:val="28"/>
          <w:szCs w:val="28"/>
          <w:lang w:val="hy-AM"/>
        </w:rPr>
        <w:t>Թ</w:t>
      </w:r>
      <w:r w:rsidRPr="00F14E00">
        <w:rPr>
          <w:rFonts w:ascii="GHEA Grapalat" w:eastAsia="Times New Roman" w:hAnsi="GHEA Grapalat" w:cs="Arial"/>
          <w:b/>
          <w:sz w:val="28"/>
          <w:szCs w:val="28"/>
          <w:lang w:val="hy-AM"/>
        </w:rPr>
        <w:t>իվ ԵՇԴ/0938/02/10</w:t>
      </w:r>
      <w:r w:rsidRPr="00F14E00">
        <w:rPr>
          <w:rFonts w:ascii="Calibri" w:eastAsia="Times New Roman" w:hAnsi="Calibri" w:cs="Calibri"/>
          <w:sz w:val="28"/>
          <w:szCs w:val="28"/>
          <w:lang w:val="hy-AM"/>
        </w:rPr>
        <w:t> </w:t>
      </w:r>
      <w:r w:rsidRPr="00F14E00">
        <w:rPr>
          <w:rFonts w:ascii="GHEA Grapalat" w:eastAsia="Times New Roman" w:hAnsi="GHEA Grapalat" w:cs="Arial"/>
          <w:sz w:val="28"/>
          <w:szCs w:val="28"/>
          <w:lang w:val="hy-AM"/>
        </w:rPr>
        <w:t>քաղաքացիական գործով</w:t>
      </w:r>
      <w:r w:rsidRPr="00F14E00">
        <w:rPr>
          <w:rFonts w:ascii="GHEA Grapalat" w:eastAsia="Times New Roman" w:hAnsi="GHEA Grapalat" w:cs="Arial"/>
          <w:b/>
          <w:i/>
          <w:sz w:val="28"/>
          <w:szCs w:val="28"/>
          <w:lang w:val="hy-AM"/>
        </w:rPr>
        <w:t xml:space="preserve"> </w:t>
      </w:r>
      <w:r w:rsidRPr="00F14E00">
        <w:rPr>
          <w:rFonts w:ascii="GHEA Grapalat" w:eastAsia="Times New Roman" w:hAnsi="GHEA Grapalat" w:cs="Arial"/>
          <w:b/>
          <w:i/>
          <w:sz w:val="28"/>
          <w:szCs w:val="28"/>
          <w:lang w:val="hy-AM"/>
        </w:rPr>
        <w:t>Վլադիմիր Օհանովի</w:t>
      </w:r>
      <w:r w:rsidRPr="00F14E00">
        <w:rPr>
          <w:rFonts w:ascii="GHEA Grapalat" w:eastAsia="Times New Roman" w:hAnsi="GHEA Grapalat" w:cs="Arial"/>
          <w:b/>
          <w:sz w:val="28"/>
          <w:szCs w:val="28"/>
          <w:lang w:val="hy-AM"/>
        </w:rPr>
        <w:t xml:space="preserve"> վերաբերյալ </w:t>
      </w:r>
      <w:r w:rsidRPr="00F14E00">
        <w:rPr>
          <w:rFonts w:ascii="GHEA Grapalat" w:eastAsia="Times New Roman" w:hAnsi="GHEA Grapalat" w:cs="Arial"/>
          <w:sz w:val="28"/>
          <w:szCs w:val="28"/>
          <w:lang w:val="hy-AM"/>
        </w:rPr>
        <w:t>վճռում Վճռաբեկ դատարանը անդրադարձել է անձին անգործունակ ճանաչելիս նրա լսված լինելու իրավունքին։ Դատարանը սահմանել է, որ անձին անգործունակ ճանաչելու յուրաքանչյուր դիմում քննելիս դատարանը պարտավոր է քաղաքացուն ծանուցել նիստի ժամանակի և վայրի մասին՝ հնարավորություն տալով անձամբ ներկա գտնվելու, անհնարինության դեպքում իր շահերը դատարանում ներկայացնել իր կողմից ընտրված փաստաբանի միջոցով, ինչպես նաև պարտավոր է քաղաքացուն ծանուցել անգործունակ ճանաչելու վերաբերյալ վճռի մասին՝ հնարավորություն տալով օրենքով սահմանված ժամկետում բողոքարկելու տվյալ վճիռը։ Ի հավելումն, անգործունակ ճանաչվող անձի ներկայությունը դատարանում, ըստ Վճռաբեկ դատարանի, կարևոր է նրանով, որ դա դատավորին հնարավորություն է տալիս տեսնել անձին և ըստ այդմ անսխալ կարծիք կազմել անձի առողջական վիճակի, իր գործողությունների նշանակությունը հասկանալու կամ դրանք ղեկավարելու կարողության մասին, կօժանդակի դատարանին պարզելու նաև, թե արդյոք դիմումը տված ընտանիքի անդամները վարվել են անբարեխղճորեն՝ ակնհայտորեն նպատակ ունենալով քաղաքացուն անհիմն կերպով զրկել գործունակությունից և, որպես դրա հետևանք՝ որոշ դեպքերում նաև գույքից։</w:t>
      </w:r>
    </w:p>
    <w:p w:rsidR="00FA6391" w:rsidRPr="00F14E00" w:rsidRDefault="00FA6391">
      <w:pPr>
        <w:rPr>
          <w:rFonts w:ascii="GHEA Grapalat" w:hAnsi="GHEA Grapalat"/>
          <w:sz w:val="28"/>
          <w:szCs w:val="28"/>
          <w:lang w:val="hy-AM"/>
        </w:rPr>
      </w:pPr>
    </w:p>
    <w:sectPr w:rsidR="00FA6391" w:rsidRPr="00F14E00" w:rsidSect="00F14E00">
      <w:type w:val="continuous"/>
      <w:pgSz w:w="11906" w:h="16838" w:code="9"/>
      <w:pgMar w:top="1440" w:right="1440" w:bottom="1440" w:left="1440" w:header="720" w:footer="720" w:gutter="0"/>
      <w:paperSrc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00"/>
    <w:rsid w:val="00D854F3"/>
    <w:rsid w:val="00F14E00"/>
    <w:rsid w:val="00FA6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60B7F"/>
  <w15:chartTrackingRefBased/>
  <w15:docId w15:val="{B3D979E4-7D49-43EB-82C4-12D3CF20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E0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 Ghazaryan</dc:creator>
  <cp:keywords/>
  <dc:description/>
  <cp:lastModifiedBy>Ara Ghazaryan</cp:lastModifiedBy>
  <cp:revision>1</cp:revision>
  <dcterms:created xsi:type="dcterms:W3CDTF">2019-11-22T11:06:00Z</dcterms:created>
  <dcterms:modified xsi:type="dcterms:W3CDTF">2019-11-22T11:08:00Z</dcterms:modified>
</cp:coreProperties>
</file>