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3A3" w:rsidRDefault="00C045C4" w:rsidP="007E13A3">
      <w:pPr>
        <w:spacing w:after="0" w:line="240" w:lineRule="auto"/>
        <w:jc w:val="center"/>
        <w:rPr>
          <w:rFonts w:ascii="Sylfaen" w:hAnsi="Sylfaen"/>
          <w:b/>
          <w:sz w:val="28"/>
          <w:szCs w:val="28"/>
        </w:rPr>
      </w:pPr>
      <w:r w:rsidRPr="007E13A3">
        <w:rPr>
          <w:rFonts w:ascii="Sylfaen" w:hAnsi="Sylfaen"/>
          <w:b/>
          <w:sz w:val="28"/>
          <w:szCs w:val="28"/>
        </w:rPr>
        <w:t xml:space="preserve">Կոնվենցիայի 6-րդ հոդվածի 3-րդ մասի վերաբերյալ </w:t>
      </w:r>
    </w:p>
    <w:p w:rsidR="00085583" w:rsidRPr="007E13A3" w:rsidRDefault="00C045C4" w:rsidP="007E13A3">
      <w:pPr>
        <w:spacing w:after="0" w:line="240" w:lineRule="auto"/>
        <w:jc w:val="center"/>
        <w:rPr>
          <w:rFonts w:ascii="Sylfaen" w:hAnsi="Sylfaen"/>
          <w:b/>
          <w:sz w:val="28"/>
          <w:szCs w:val="28"/>
        </w:rPr>
      </w:pPr>
      <w:r w:rsidRPr="007E13A3">
        <w:rPr>
          <w:rFonts w:ascii="Sylfaen" w:hAnsi="Sylfaen"/>
          <w:b/>
          <w:sz w:val="28"/>
          <w:szCs w:val="28"/>
        </w:rPr>
        <w:t>թեստեր</w:t>
      </w:r>
      <w:r w:rsidR="007E13A3" w:rsidRPr="007E13A3">
        <w:rPr>
          <w:rFonts w:ascii="Sylfaen" w:hAnsi="Sylfaen"/>
          <w:b/>
          <w:sz w:val="28"/>
          <w:szCs w:val="28"/>
        </w:rPr>
        <w:t xml:space="preserve"> և իրավիճակային խնդիրներ</w:t>
      </w:r>
    </w:p>
    <w:p w:rsidR="00610DF4" w:rsidRDefault="00610DF4">
      <w:pPr>
        <w:rPr>
          <w:rFonts w:ascii="Sylfaen" w:hAnsi="Sylfaen"/>
          <w:b/>
          <w:sz w:val="28"/>
          <w:szCs w:val="28"/>
        </w:rPr>
      </w:pPr>
    </w:p>
    <w:p w:rsidR="00813189" w:rsidRPr="00813189" w:rsidRDefault="00813189" w:rsidP="00813189">
      <w:pPr>
        <w:jc w:val="right"/>
        <w:rPr>
          <w:rFonts w:ascii="Sylfaen" w:hAnsi="Sylfaen"/>
          <w:lang w:val="hy-AM"/>
        </w:rPr>
      </w:pPr>
      <w:bookmarkStart w:id="0" w:name="_GoBack"/>
      <w:bookmarkEnd w:id="0"/>
      <w:r w:rsidRPr="00813189">
        <w:rPr>
          <w:rFonts w:ascii="Sylfaen" w:hAnsi="Sylfaen"/>
          <w:lang w:val="hy-AM"/>
        </w:rPr>
        <w:t>Կազմեց՝ Արա Ղազարյանը</w:t>
      </w:r>
    </w:p>
    <w:p w:rsidR="000C5ECF" w:rsidRPr="00813189" w:rsidRDefault="00952271" w:rsidP="00952271">
      <w:pPr>
        <w:pStyle w:val="ListParagraph"/>
        <w:numPr>
          <w:ilvl w:val="0"/>
          <w:numId w:val="3"/>
        </w:numPr>
        <w:ind w:left="-90"/>
        <w:jc w:val="both"/>
        <w:rPr>
          <w:rFonts w:ascii="Sylfaen" w:hAnsi="Sylfaen"/>
          <w:sz w:val="28"/>
          <w:szCs w:val="28"/>
          <w:lang w:val="hy-AM"/>
        </w:rPr>
      </w:pPr>
      <w:r w:rsidRPr="00813189">
        <w:rPr>
          <w:rFonts w:ascii="Sylfaen" w:hAnsi="Sylfaen"/>
          <w:sz w:val="28"/>
          <w:szCs w:val="28"/>
          <w:lang w:val="hy-AM"/>
        </w:rPr>
        <w:t>6-րդ հոդվածի 3-րդ մասով սահմանված դատավարական երաշխիքներ</w:t>
      </w:r>
      <w:r w:rsidR="000C5ECF" w:rsidRPr="00813189">
        <w:rPr>
          <w:rFonts w:ascii="Sylfaen" w:hAnsi="Sylfaen"/>
          <w:sz w:val="28"/>
          <w:szCs w:val="28"/>
          <w:lang w:val="hy-AM"/>
        </w:rPr>
        <w:t>ի խախտումը վիճարկելիս.</w:t>
      </w:r>
    </w:p>
    <w:p w:rsidR="000C5ECF" w:rsidRPr="00813189" w:rsidRDefault="000C5ECF" w:rsidP="00181455">
      <w:pPr>
        <w:pStyle w:val="ListParagraph"/>
        <w:ind w:left="-90"/>
        <w:jc w:val="both"/>
        <w:rPr>
          <w:rFonts w:ascii="Sylfaen" w:hAnsi="Sylfaen"/>
          <w:sz w:val="28"/>
          <w:szCs w:val="28"/>
          <w:lang w:val="hy-AM"/>
        </w:rPr>
      </w:pPr>
    </w:p>
    <w:p w:rsidR="000C5ECF" w:rsidRDefault="00952271" w:rsidP="00181455">
      <w:pPr>
        <w:ind w:left="1350" w:hanging="630"/>
        <w:jc w:val="both"/>
        <w:rPr>
          <w:rFonts w:ascii="Sylfaen" w:hAnsi="Sylfaen"/>
          <w:sz w:val="28"/>
          <w:szCs w:val="28"/>
        </w:rPr>
      </w:pPr>
      <w:r w:rsidRPr="000E0225">
        <w:rPr>
          <w:rFonts w:ascii="Sylfaen" w:hAnsi="Sylfaen"/>
          <w:sz w:val="28"/>
          <w:szCs w:val="28"/>
          <w:highlight w:val="yellow"/>
        </w:rPr>
        <w:t xml:space="preserve">ա.  </w:t>
      </w:r>
      <w:r w:rsidR="000C5ECF" w:rsidRPr="000E0225">
        <w:rPr>
          <w:rFonts w:ascii="Sylfaen" w:hAnsi="Sylfaen"/>
          <w:sz w:val="28"/>
          <w:szCs w:val="28"/>
          <w:highlight w:val="yellow"/>
        </w:rPr>
        <w:t xml:space="preserve">  մեղադրյալը պետք է հիմնավորի, որ խախտումը ազդել է ամբողջ դատավարության «արդարացիության» վրա, քանի որ 3-րդ մասի պաշտպանական երաշխիքները</w:t>
      </w:r>
      <w:r w:rsidR="00181455" w:rsidRPr="000E0225">
        <w:rPr>
          <w:rFonts w:ascii="Sylfaen" w:hAnsi="Sylfaen"/>
          <w:sz w:val="28"/>
          <w:szCs w:val="28"/>
          <w:highlight w:val="yellow"/>
        </w:rPr>
        <w:t xml:space="preserve"> համարվում են հոդվածի </w:t>
      </w:r>
      <w:r w:rsidR="000C5ECF" w:rsidRPr="000E0225">
        <w:rPr>
          <w:rFonts w:ascii="Sylfaen" w:hAnsi="Sylfaen"/>
          <w:sz w:val="28"/>
          <w:szCs w:val="28"/>
          <w:highlight w:val="yellow"/>
        </w:rPr>
        <w:t>1-ին</w:t>
      </w:r>
      <w:r w:rsidR="00181455" w:rsidRPr="000E0225">
        <w:rPr>
          <w:rFonts w:ascii="Sylfaen" w:hAnsi="Sylfaen"/>
          <w:sz w:val="28"/>
          <w:szCs w:val="28"/>
          <w:highlight w:val="yellow"/>
        </w:rPr>
        <w:t>՝ ընդհանուր</w:t>
      </w:r>
      <w:r w:rsidR="000C5ECF" w:rsidRPr="000E0225">
        <w:rPr>
          <w:rFonts w:ascii="Sylfaen" w:hAnsi="Sylfaen"/>
          <w:sz w:val="28"/>
          <w:szCs w:val="28"/>
          <w:highlight w:val="yellow"/>
        </w:rPr>
        <w:t xml:space="preserve"> մասում սահմանված «արդար» դատաքննության իրավունքի </w:t>
      </w:r>
      <w:r w:rsidR="00181455" w:rsidRPr="000E0225">
        <w:rPr>
          <w:rFonts w:ascii="Sylfaen" w:hAnsi="Sylfaen"/>
          <w:sz w:val="28"/>
          <w:szCs w:val="28"/>
          <w:highlight w:val="yellow"/>
        </w:rPr>
        <w:t xml:space="preserve">արտահայտման առանձնահատուկ </w:t>
      </w:r>
      <w:r w:rsidR="00905C1D" w:rsidRPr="000E0225">
        <w:rPr>
          <w:rFonts w:ascii="Sylfaen" w:hAnsi="Sylfaen"/>
          <w:sz w:val="28"/>
          <w:szCs w:val="28"/>
          <w:highlight w:val="yellow"/>
        </w:rPr>
        <w:t>դրսևորումները</w:t>
      </w:r>
      <w:r w:rsidR="00181455" w:rsidRPr="000E0225">
        <w:rPr>
          <w:rFonts w:ascii="Sylfaen" w:hAnsi="Sylfaen"/>
          <w:sz w:val="28"/>
          <w:szCs w:val="28"/>
          <w:highlight w:val="yellow"/>
        </w:rPr>
        <w:t>,</w:t>
      </w:r>
      <w:r w:rsidR="00181455">
        <w:rPr>
          <w:rFonts w:ascii="Sylfaen" w:hAnsi="Sylfaen"/>
          <w:sz w:val="28"/>
          <w:szCs w:val="28"/>
        </w:rPr>
        <w:t xml:space="preserve"> </w:t>
      </w:r>
    </w:p>
    <w:p w:rsidR="00181455" w:rsidRDefault="000C5ECF" w:rsidP="00181455">
      <w:pPr>
        <w:ind w:left="1350" w:hanging="63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բ.</w:t>
      </w:r>
      <w:r>
        <w:rPr>
          <w:rFonts w:ascii="Sylfaen" w:hAnsi="Sylfaen"/>
          <w:sz w:val="28"/>
          <w:szCs w:val="28"/>
        </w:rPr>
        <w:tab/>
      </w:r>
      <w:r w:rsidR="00181455">
        <w:rPr>
          <w:rFonts w:ascii="Sylfaen" w:hAnsi="Sylfaen"/>
          <w:sz w:val="28"/>
          <w:szCs w:val="28"/>
        </w:rPr>
        <w:t>մ</w:t>
      </w:r>
      <w:r>
        <w:rPr>
          <w:rFonts w:ascii="Sylfaen" w:hAnsi="Sylfaen"/>
          <w:sz w:val="28"/>
          <w:szCs w:val="28"/>
        </w:rPr>
        <w:t xml:space="preserve">եղադրյալը կարիք չունի </w:t>
      </w:r>
      <w:r w:rsidR="00181455">
        <w:rPr>
          <w:rFonts w:ascii="Sylfaen" w:hAnsi="Sylfaen"/>
          <w:sz w:val="28"/>
          <w:szCs w:val="28"/>
        </w:rPr>
        <w:t xml:space="preserve">հիմնավորել, որ </w:t>
      </w:r>
      <w:r>
        <w:rPr>
          <w:rFonts w:ascii="Sylfaen" w:hAnsi="Sylfaen"/>
          <w:sz w:val="28"/>
          <w:szCs w:val="28"/>
        </w:rPr>
        <w:t xml:space="preserve">3-րդ մասով սահմանված պաշպանության երաշխիքների խախտումը </w:t>
      </w:r>
      <w:r w:rsidR="00181455">
        <w:rPr>
          <w:rFonts w:ascii="Sylfaen" w:hAnsi="Sylfaen"/>
          <w:sz w:val="28"/>
          <w:szCs w:val="28"/>
        </w:rPr>
        <w:t xml:space="preserve">ազդել է դատավարության «արդարացիության» վրա, քանի որ 3-րդ մասում սահմանված պաշտպանական երաշխիքները հանդես են գալիս ինքնուրույնաբար և դրանցից որևէ մեկի խախտումը ինքնին հանգեցնում է դատավարության «արդարացիության» խախտմանը: </w:t>
      </w:r>
    </w:p>
    <w:p w:rsidR="00F34F29" w:rsidRDefault="00F34F29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Default="00952271">
      <w:pPr>
        <w:rPr>
          <w:rFonts w:ascii="Sylfaen" w:hAnsi="Sylfaen"/>
          <w:b/>
          <w:sz w:val="28"/>
          <w:szCs w:val="28"/>
        </w:rPr>
      </w:pPr>
    </w:p>
    <w:p w:rsidR="00952271" w:rsidRPr="00F34F29" w:rsidRDefault="00952271">
      <w:pPr>
        <w:rPr>
          <w:rFonts w:ascii="Sylfaen" w:hAnsi="Sylfaen"/>
          <w:b/>
          <w:sz w:val="28"/>
          <w:szCs w:val="28"/>
        </w:rPr>
      </w:pPr>
    </w:p>
    <w:p w:rsidR="006B0A35" w:rsidRPr="00F34F29" w:rsidRDefault="00542F23" w:rsidP="00181455">
      <w:pPr>
        <w:pStyle w:val="ListParagraph"/>
        <w:numPr>
          <w:ilvl w:val="0"/>
          <w:numId w:val="3"/>
        </w:numPr>
        <w:ind w:left="90" w:hanging="54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lastRenderedPageBreak/>
        <w:t xml:space="preserve">Կոնվենցիայի 6-րդ հոդվածի 3-րդ մասի ա-կետի համաձայն, քրեական հանցագործության մեջ մեղադրվող յուրաքանչյուր ոք իրավունք ունի իրեն հասկանալի լեզվով, անհապաղ ու հանգամանորեն տեղեկացվելու իրեն ներկայացված մեղադրանքի </w:t>
      </w:r>
      <w:r w:rsidR="006B0A35" w:rsidRPr="00F34F29">
        <w:rPr>
          <w:rFonts w:ascii="Sylfaen" w:hAnsi="Sylfaen"/>
          <w:sz w:val="28"/>
          <w:szCs w:val="28"/>
        </w:rPr>
        <w:t>«</w:t>
      </w:r>
      <w:r w:rsidRPr="00F34F29">
        <w:rPr>
          <w:rFonts w:ascii="Sylfaen" w:hAnsi="Sylfaen"/>
          <w:sz w:val="28"/>
          <w:szCs w:val="28"/>
        </w:rPr>
        <w:t>բնույթի</w:t>
      </w:r>
      <w:r w:rsidR="006B0A35" w:rsidRPr="00F34F29">
        <w:rPr>
          <w:rFonts w:ascii="Sylfaen" w:hAnsi="Sylfaen"/>
          <w:sz w:val="28"/>
          <w:szCs w:val="28"/>
        </w:rPr>
        <w:t>»</w:t>
      </w:r>
      <w:r w:rsidRPr="00F34F29">
        <w:rPr>
          <w:rFonts w:ascii="Sylfaen" w:hAnsi="Sylfaen"/>
          <w:sz w:val="28"/>
          <w:szCs w:val="28"/>
        </w:rPr>
        <w:t xml:space="preserve"> ու</w:t>
      </w:r>
      <w:r w:rsidR="006B0A35" w:rsidRPr="00F34F29">
        <w:rPr>
          <w:rFonts w:ascii="Sylfaen" w:hAnsi="Sylfaen"/>
          <w:sz w:val="28"/>
          <w:szCs w:val="28"/>
        </w:rPr>
        <w:t xml:space="preserve"> «</w:t>
      </w:r>
      <w:r w:rsidRPr="00F34F29">
        <w:rPr>
          <w:rFonts w:ascii="Sylfaen" w:hAnsi="Sylfaen"/>
          <w:sz w:val="28"/>
          <w:szCs w:val="28"/>
        </w:rPr>
        <w:t>հիմքի</w:t>
      </w:r>
      <w:r w:rsidR="006B0A35" w:rsidRPr="00F34F29">
        <w:rPr>
          <w:rFonts w:ascii="Sylfaen" w:hAnsi="Sylfaen"/>
          <w:sz w:val="28"/>
          <w:szCs w:val="28"/>
        </w:rPr>
        <w:t>»</w:t>
      </w:r>
      <w:r w:rsidRPr="00F34F29">
        <w:rPr>
          <w:rFonts w:ascii="Sylfaen" w:hAnsi="Sylfaen"/>
          <w:sz w:val="28"/>
          <w:szCs w:val="28"/>
        </w:rPr>
        <w:t xml:space="preserve"> մասին</w:t>
      </w:r>
      <w:r w:rsidR="00125A1A" w:rsidRPr="00F34F29">
        <w:rPr>
          <w:rFonts w:ascii="Sylfaen" w:hAnsi="Sylfaen"/>
          <w:sz w:val="28"/>
          <w:szCs w:val="28"/>
        </w:rPr>
        <w:t>: «Մեղադրանքի բնույթ և հիմք» հասկացությունը նշանակում է</w:t>
      </w:r>
      <w:r w:rsidR="006B0A35" w:rsidRPr="00F34F29">
        <w:rPr>
          <w:rFonts w:ascii="Sylfaen" w:hAnsi="Sylfaen"/>
          <w:sz w:val="28"/>
          <w:szCs w:val="28"/>
        </w:rPr>
        <w:t>.</w:t>
      </w:r>
    </w:p>
    <w:p w:rsidR="00F34F29" w:rsidRPr="00F34F29" w:rsidRDefault="00F34F29" w:rsidP="00F34F29">
      <w:pPr>
        <w:pStyle w:val="ListParagraph"/>
        <w:ind w:left="-90"/>
        <w:jc w:val="both"/>
        <w:rPr>
          <w:rFonts w:ascii="Sylfaen" w:hAnsi="Sylfaen"/>
          <w:sz w:val="28"/>
          <w:szCs w:val="28"/>
        </w:rPr>
      </w:pPr>
    </w:p>
    <w:p w:rsidR="006B0A35" w:rsidRPr="00F34F29" w:rsidRDefault="006B0A35" w:rsidP="00542F23">
      <w:pPr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ab/>
        <w:t>ա. մեղադրանքի քրեաիրավական որակ</w:t>
      </w:r>
      <w:r w:rsidR="00125A1A" w:rsidRPr="00F34F29">
        <w:rPr>
          <w:rFonts w:ascii="Sylfaen" w:hAnsi="Sylfaen"/>
          <w:sz w:val="28"/>
          <w:szCs w:val="28"/>
        </w:rPr>
        <w:t xml:space="preserve">ումը, </w:t>
      </w:r>
      <w:r w:rsidRPr="00F34F29">
        <w:rPr>
          <w:rFonts w:ascii="Sylfaen" w:hAnsi="Sylfaen"/>
          <w:sz w:val="28"/>
          <w:szCs w:val="28"/>
        </w:rPr>
        <w:t xml:space="preserve"> </w:t>
      </w:r>
    </w:p>
    <w:p w:rsidR="006B0A35" w:rsidRPr="00F34F29" w:rsidRDefault="006B0A35" w:rsidP="006B0A35">
      <w:pPr>
        <w:ind w:left="990" w:hanging="27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>բ. մեղադրանքի քրեաիրավական որակ</w:t>
      </w:r>
      <w:r w:rsidR="00125A1A" w:rsidRPr="00F34F29">
        <w:rPr>
          <w:rFonts w:ascii="Sylfaen" w:hAnsi="Sylfaen"/>
          <w:sz w:val="28"/>
          <w:szCs w:val="28"/>
        </w:rPr>
        <w:t>ումը և</w:t>
      </w:r>
      <w:r w:rsidRPr="00F34F29">
        <w:rPr>
          <w:rFonts w:ascii="Sylfaen" w:hAnsi="Sylfaen"/>
          <w:sz w:val="28"/>
          <w:szCs w:val="28"/>
        </w:rPr>
        <w:t xml:space="preserve"> դրա հիմքում ընկած փաստական հանգամանքներ</w:t>
      </w:r>
      <w:r w:rsidR="00125A1A" w:rsidRPr="00F34F29">
        <w:rPr>
          <w:rFonts w:ascii="Sylfaen" w:hAnsi="Sylfaen"/>
          <w:sz w:val="28"/>
          <w:szCs w:val="28"/>
        </w:rPr>
        <w:t>ը</w:t>
      </w:r>
      <w:r w:rsidRPr="00F34F29">
        <w:rPr>
          <w:rFonts w:ascii="Sylfaen" w:hAnsi="Sylfaen"/>
          <w:sz w:val="28"/>
          <w:szCs w:val="28"/>
        </w:rPr>
        <w:t>,</w:t>
      </w:r>
    </w:p>
    <w:p w:rsidR="00542F23" w:rsidRPr="00F34F29" w:rsidRDefault="006B0A35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  <w:r w:rsidRPr="00F34F29">
        <w:rPr>
          <w:rFonts w:ascii="Sylfaen" w:hAnsi="Sylfaen" w:cs="Sylfaen"/>
          <w:sz w:val="28"/>
          <w:szCs w:val="28"/>
        </w:rPr>
        <w:t>գ</w:t>
      </w:r>
      <w:r w:rsidRPr="00F34F29">
        <w:rPr>
          <w:rFonts w:ascii="Arial LatArm" w:hAnsi="Arial LatArm"/>
          <w:sz w:val="28"/>
          <w:szCs w:val="28"/>
        </w:rPr>
        <w:t xml:space="preserve">. </w:t>
      </w:r>
      <w:r w:rsidR="00125A1A" w:rsidRPr="00F34F29">
        <w:rPr>
          <w:rFonts w:ascii="Sylfaen" w:hAnsi="Sylfaen"/>
          <w:sz w:val="28"/>
          <w:szCs w:val="28"/>
        </w:rPr>
        <w:t>պարզ, ոչ մասնագիտական, մեղադրյալին հասկանալի բառերով մեղադրանքի ընդհանուր իրավական ու փաստական հիմքեր</w:t>
      </w:r>
      <w:r w:rsidR="00F34F29">
        <w:rPr>
          <w:rFonts w:ascii="Sylfaen" w:hAnsi="Sylfaen"/>
          <w:sz w:val="28"/>
          <w:szCs w:val="28"/>
        </w:rPr>
        <w:t>ը:</w:t>
      </w:r>
      <w:r w:rsidRPr="00F34F29">
        <w:rPr>
          <w:rFonts w:ascii="Arial LatArm" w:hAnsi="Arial LatArm"/>
          <w:sz w:val="28"/>
          <w:szCs w:val="28"/>
        </w:rPr>
        <w:t xml:space="preserve">  </w:t>
      </w:r>
      <w:r w:rsidR="00542F23" w:rsidRPr="00F34F29">
        <w:rPr>
          <w:rFonts w:ascii="Arial LatArm" w:hAnsi="Arial LatArm"/>
          <w:sz w:val="28"/>
          <w:szCs w:val="28"/>
        </w:rPr>
        <w:t xml:space="preserve"> </w:t>
      </w:r>
    </w:p>
    <w:p w:rsidR="00125A1A" w:rsidRPr="00F34F29" w:rsidRDefault="00125A1A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F34F29" w:rsidRPr="00F34F29" w:rsidRDefault="00F34F29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F34F29" w:rsidRPr="00F34F29" w:rsidRDefault="00F34F29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4"/>
          <w:szCs w:val="24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4"/>
          <w:szCs w:val="24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4"/>
          <w:szCs w:val="24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4"/>
          <w:szCs w:val="24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4"/>
          <w:szCs w:val="24"/>
        </w:rPr>
      </w:pPr>
    </w:p>
    <w:p w:rsidR="00F34F29" w:rsidRDefault="00F34F29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DA1397" w:rsidRPr="00F34F29" w:rsidRDefault="00DA1397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F34F29" w:rsidRPr="00F34F29" w:rsidRDefault="00F34F29" w:rsidP="006B0A35">
      <w:pPr>
        <w:ind w:left="990" w:hanging="270"/>
        <w:jc w:val="both"/>
        <w:rPr>
          <w:rFonts w:ascii="Arial LatArm" w:hAnsi="Arial LatArm"/>
          <w:sz w:val="28"/>
          <w:szCs w:val="28"/>
        </w:rPr>
      </w:pPr>
    </w:p>
    <w:p w:rsidR="00542F23" w:rsidRPr="00181455" w:rsidRDefault="00125A1A" w:rsidP="00181455">
      <w:pPr>
        <w:pStyle w:val="ListParagraph"/>
        <w:numPr>
          <w:ilvl w:val="0"/>
          <w:numId w:val="3"/>
        </w:numPr>
        <w:ind w:left="0" w:hanging="540"/>
        <w:jc w:val="both"/>
        <w:rPr>
          <w:rFonts w:ascii="Sylfaen" w:hAnsi="Sylfaen"/>
          <w:sz w:val="28"/>
          <w:szCs w:val="28"/>
        </w:rPr>
      </w:pPr>
      <w:r w:rsidRPr="00181455">
        <w:rPr>
          <w:rFonts w:ascii="Sylfaen" w:hAnsi="Sylfaen" w:cs="Sylfaen"/>
          <w:sz w:val="28"/>
          <w:szCs w:val="28"/>
        </w:rPr>
        <w:t>Կոնվենցիայի</w:t>
      </w:r>
      <w:r w:rsidRPr="00181455">
        <w:rPr>
          <w:rFonts w:ascii="Sylfaen" w:hAnsi="Sylfaen"/>
          <w:sz w:val="28"/>
          <w:szCs w:val="28"/>
        </w:rPr>
        <w:t xml:space="preserve"> 5-րդ հոդվածի 2-րդ կետի համաձայն, յուրաքանչյուր ոք իրեն հասկանալի լեզվով անհապաղ տեղեկացվում է իր ձերբակալման պատճառների և ներկայացվող ցանկացած մեղադրանքի մասին: «Ձերբակալման պատճառներ և ներկայացվող մեղադրանք» հասկացությունը նշանակում է. </w:t>
      </w:r>
    </w:p>
    <w:p w:rsidR="00125A1A" w:rsidRPr="00F34F29" w:rsidRDefault="00125A1A" w:rsidP="00C045C4">
      <w:pPr>
        <w:rPr>
          <w:rFonts w:ascii="Sylfaen" w:hAnsi="Sylfaen"/>
          <w:sz w:val="28"/>
          <w:szCs w:val="28"/>
        </w:rPr>
      </w:pPr>
    </w:p>
    <w:p w:rsidR="00125A1A" w:rsidRPr="00F34F29" w:rsidRDefault="00125A1A" w:rsidP="00125A1A">
      <w:pPr>
        <w:ind w:firstLine="72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 xml:space="preserve">ա. մեղադրանքի քրեաիրավական որակումը,  </w:t>
      </w:r>
    </w:p>
    <w:p w:rsidR="00125A1A" w:rsidRPr="00F34F29" w:rsidRDefault="00125A1A" w:rsidP="00125A1A">
      <w:pPr>
        <w:ind w:left="990" w:hanging="27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>բ. մեղադրանքի քրեաիրավական որակումը և դրա հիմքում ընկած փաստական հանգամանքները,</w:t>
      </w:r>
    </w:p>
    <w:p w:rsidR="00125A1A" w:rsidRPr="00F34F29" w:rsidRDefault="00125A1A" w:rsidP="00125A1A">
      <w:pPr>
        <w:ind w:left="990" w:hanging="270"/>
        <w:jc w:val="both"/>
        <w:rPr>
          <w:rFonts w:ascii="Arial LatArm" w:hAnsi="Arial LatArm"/>
          <w:sz w:val="28"/>
          <w:szCs w:val="28"/>
        </w:rPr>
      </w:pPr>
      <w:r w:rsidRPr="00F34F29">
        <w:rPr>
          <w:rFonts w:ascii="Sylfaen" w:hAnsi="Sylfaen" w:cs="Sylfaen"/>
          <w:sz w:val="28"/>
          <w:szCs w:val="28"/>
        </w:rPr>
        <w:t>գ</w:t>
      </w:r>
      <w:r w:rsidRPr="00F34F29">
        <w:rPr>
          <w:rFonts w:ascii="Arial LatArm" w:hAnsi="Arial LatArm"/>
          <w:sz w:val="28"/>
          <w:szCs w:val="28"/>
        </w:rPr>
        <w:t xml:space="preserve">. </w:t>
      </w:r>
      <w:r w:rsidRPr="00F34F29">
        <w:rPr>
          <w:rFonts w:ascii="Sylfaen" w:hAnsi="Sylfaen"/>
          <w:sz w:val="28"/>
          <w:szCs w:val="28"/>
        </w:rPr>
        <w:t>պարզ, ոչ մասնագիտական, մեղադրյալին հասկանալի բառերով մեղադրանքի ընդհանուր իրավական ու փաստական հիմքերի մասին</w:t>
      </w:r>
      <w:r w:rsidRPr="00F34F29">
        <w:rPr>
          <w:rFonts w:ascii="Arial LatArm" w:hAnsi="Arial LatArm"/>
          <w:sz w:val="28"/>
          <w:szCs w:val="28"/>
        </w:rPr>
        <w:t xml:space="preserve">   </w:t>
      </w: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Pr="00F34F29" w:rsidRDefault="00542F23" w:rsidP="00C045C4">
      <w:pPr>
        <w:rPr>
          <w:rFonts w:ascii="Sylfaen" w:hAnsi="Sylfaen"/>
          <w:sz w:val="28"/>
          <w:szCs w:val="28"/>
        </w:rPr>
      </w:pPr>
    </w:p>
    <w:p w:rsidR="00542F23" w:rsidRDefault="00542F23" w:rsidP="00C045C4">
      <w:pPr>
        <w:rPr>
          <w:rFonts w:ascii="Sylfaen" w:hAnsi="Sylfaen"/>
          <w:sz w:val="24"/>
          <w:szCs w:val="24"/>
        </w:rPr>
      </w:pPr>
    </w:p>
    <w:p w:rsidR="00542F23" w:rsidRDefault="00542F23" w:rsidP="00C045C4">
      <w:pPr>
        <w:rPr>
          <w:rFonts w:ascii="Sylfaen" w:hAnsi="Sylfaen"/>
          <w:sz w:val="24"/>
          <w:szCs w:val="24"/>
        </w:rPr>
      </w:pPr>
    </w:p>
    <w:p w:rsidR="00542F23" w:rsidRDefault="00542F23" w:rsidP="00C045C4">
      <w:pPr>
        <w:rPr>
          <w:rFonts w:ascii="Sylfaen" w:hAnsi="Sylfaen"/>
          <w:sz w:val="24"/>
          <w:szCs w:val="24"/>
        </w:rPr>
      </w:pPr>
    </w:p>
    <w:p w:rsidR="00F34F29" w:rsidRDefault="00F34F29" w:rsidP="00C045C4">
      <w:pPr>
        <w:rPr>
          <w:rFonts w:ascii="Sylfaen" w:hAnsi="Sylfaen"/>
          <w:sz w:val="24"/>
          <w:szCs w:val="24"/>
        </w:rPr>
      </w:pPr>
    </w:p>
    <w:p w:rsidR="00F34F29" w:rsidRDefault="00F34F29" w:rsidP="00C045C4">
      <w:pPr>
        <w:rPr>
          <w:rFonts w:ascii="Sylfaen" w:hAnsi="Sylfaen"/>
          <w:sz w:val="24"/>
          <w:szCs w:val="24"/>
        </w:rPr>
      </w:pPr>
    </w:p>
    <w:p w:rsidR="00542F23" w:rsidRDefault="00542F23" w:rsidP="00C045C4">
      <w:pPr>
        <w:rPr>
          <w:rFonts w:ascii="Sylfaen" w:hAnsi="Sylfaen"/>
          <w:sz w:val="24"/>
          <w:szCs w:val="24"/>
        </w:rPr>
      </w:pPr>
    </w:p>
    <w:p w:rsidR="00C045C4" w:rsidRPr="00F34F29" w:rsidRDefault="00C045C4" w:rsidP="00181455">
      <w:pPr>
        <w:pStyle w:val="ListParagraph"/>
        <w:numPr>
          <w:ilvl w:val="0"/>
          <w:numId w:val="3"/>
        </w:numPr>
        <w:ind w:left="0" w:hanging="540"/>
        <w:rPr>
          <w:rFonts w:ascii="Sylfaen" w:hAnsi="Sylfaen"/>
          <w:sz w:val="24"/>
          <w:szCs w:val="24"/>
        </w:rPr>
      </w:pPr>
      <w:r w:rsidRPr="00F34F29">
        <w:rPr>
          <w:rFonts w:ascii="Sylfaen" w:hAnsi="Sylfaen" w:cs="Sylfaen"/>
          <w:sz w:val="24"/>
          <w:szCs w:val="24"/>
        </w:rPr>
        <w:lastRenderedPageBreak/>
        <w:t>ՀՀ</w:t>
      </w:r>
      <w:r w:rsidRPr="00F34F29">
        <w:rPr>
          <w:rFonts w:ascii="Sylfaen" w:hAnsi="Sylfaen"/>
          <w:sz w:val="24"/>
          <w:szCs w:val="24"/>
        </w:rPr>
        <w:t xml:space="preserve"> Վճռաբեկ դատարանը Ս. Նալբանդյանի գործով որոշման մեջ (ՀՅՔՐԴ2/0144/01/09) սահմանե</w:t>
      </w:r>
      <w:r w:rsidR="007E13A3" w:rsidRPr="00F34F29">
        <w:rPr>
          <w:rFonts w:ascii="Sylfaen" w:hAnsi="Sylfaen"/>
          <w:sz w:val="24"/>
          <w:szCs w:val="24"/>
        </w:rPr>
        <w:t>լ է</w:t>
      </w:r>
      <w:r w:rsidRPr="00F34F29">
        <w:rPr>
          <w:rFonts w:ascii="Sylfaen" w:hAnsi="Sylfaen"/>
          <w:sz w:val="24"/>
          <w:szCs w:val="24"/>
        </w:rPr>
        <w:t xml:space="preserve"> հետևյալը. </w:t>
      </w:r>
    </w:p>
    <w:p w:rsidR="00C045C4" w:rsidRPr="00C045C4" w:rsidRDefault="00C045C4" w:rsidP="00C045C4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45C4">
        <w:rPr>
          <w:rFonts w:ascii="Sylfaen" w:eastAsia="Times New Roman" w:hAnsi="Sylfaen" w:cs="Sylfaen"/>
          <w:i/>
          <w:sz w:val="24"/>
          <w:szCs w:val="24"/>
          <w:lang w:eastAsia="ru-RU"/>
        </w:rPr>
        <w:t>«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Եթե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Հայաստանի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Հանրապետության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քրեական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դատավարության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օրենսգրքի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19-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րդ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հոդվածում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օգտագործված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մեղադրանք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եզրույթը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հասկացվի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սոսկ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քրեաիրավական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որակում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»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իմաստով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և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այն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իր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մեջ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չներառի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արարքի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քրեաիրավական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որակման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հիմքում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ընկած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փաստական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հանգամանքները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ապա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կասկածյալի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և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մեղադրյալի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պաշտպանության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իրավունքը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չի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լինի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կոնկրետ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և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իրական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այլ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կլինի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վերացական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և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պատրանքային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քանի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առանց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փաստական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հիմքի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`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քրեաիրավական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որակումից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պաշտպանվելու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իրավունքը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առարկայազուրկ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է</w:t>
      </w:r>
      <w:r w:rsidRPr="00C045C4">
        <w:rPr>
          <w:rFonts w:ascii="Sylfaen" w:eastAsia="Times New Roman" w:hAnsi="Sylfaen" w:cs="Sylfaen"/>
          <w:i/>
          <w:sz w:val="24"/>
          <w:szCs w:val="24"/>
          <w:lang w:eastAsia="ru-RU"/>
        </w:rPr>
        <w:t>»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7E13A3" w:rsidRDefault="007E13A3">
      <w:pPr>
        <w:rPr>
          <w:rFonts w:ascii="Sylfaen" w:hAnsi="Sylfaen"/>
          <w:sz w:val="24"/>
          <w:szCs w:val="24"/>
        </w:rPr>
      </w:pPr>
    </w:p>
    <w:p w:rsidR="00C045C4" w:rsidRDefault="00C045C4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Առաջնորդվելով վերը նշվածով, Վճռաբեկ դատարանը կայացրե</w:t>
      </w:r>
      <w:r w:rsidR="007E13A3">
        <w:rPr>
          <w:rFonts w:ascii="Sylfaen" w:hAnsi="Sylfaen"/>
          <w:sz w:val="24"/>
          <w:szCs w:val="24"/>
        </w:rPr>
        <w:t xml:space="preserve">լ է </w:t>
      </w:r>
      <w:r>
        <w:rPr>
          <w:rFonts w:ascii="Sylfaen" w:hAnsi="Sylfaen"/>
          <w:sz w:val="24"/>
          <w:szCs w:val="24"/>
        </w:rPr>
        <w:t xml:space="preserve">հետևյալ որոշումը. </w:t>
      </w:r>
    </w:p>
    <w:p w:rsidR="00C045C4" w:rsidRDefault="00C045C4" w:rsidP="00C045C4">
      <w:pPr>
        <w:spacing w:after="0" w:line="240" w:lineRule="auto"/>
        <w:ind w:firstLine="375"/>
        <w:rPr>
          <w:rFonts w:ascii="Sylfaen" w:eastAsia="Times New Roman" w:hAnsi="Sylfaen" w:cs="Sylfaen"/>
          <w:sz w:val="24"/>
          <w:szCs w:val="24"/>
          <w:highlight w:val="yellow"/>
          <w:lang w:eastAsia="ru-RU"/>
        </w:rPr>
      </w:pPr>
    </w:p>
    <w:p w:rsidR="00C045C4" w:rsidRPr="00C045C4" w:rsidRDefault="00C045C4" w:rsidP="00C045C4">
      <w:pPr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45C4">
        <w:rPr>
          <w:rFonts w:ascii="Sylfaen" w:eastAsia="Times New Roman" w:hAnsi="Sylfaen" w:cs="Sylfaen"/>
          <w:i/>
          <w:sz w:val="24"/>
          <w:szCs w:val="24"/>
          <w:lang w:eastAsia="ru-RU"/>
        </w:rPr>
        <w:t>«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Վճռաբեկ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դատարանը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գտնում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է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ՀՀ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քրեական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դատավարության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օրենսգրքի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309</w:t>
      </w:r>
      <w:r w:rsidRPr="00C045C4">
        <w:rPr>
          <w:rFonts w:ascii="Times New Roman" w:eastAsia="Times New Roman" w:hAnsi="Times New Roman" w:cs="Times New Roman"/>
          <w:i/>
          <w:sz w:val="15"/>
          <w:szCs w:val="15"/>
          <w:vertAlign w:val="superscript"/>
          <w:lang w:eastAsia="ru-RU"/>
        </w:rPr>
        <w:t>1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րդ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հոդվածի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1-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2-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րդ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և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3-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րդ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մասերով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սահմանված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իրավական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ռեժիմներով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դատարանում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մեղադրանքը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փոփոխելիս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մեղադրողի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կողմից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պետք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է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կայացվի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ինչպես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մեղադրանքը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լրացնելու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կամ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փոփոխելու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մասին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որոշում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այնպես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էլ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կազմվի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նոր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մեղադրական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045C4">
        <w:rPr>
          <w:rFonts w:ascii="Sylfaen" w:eastAsia="Times New Roman" w:hAnsi="Sylfaen" w:cs="Sylfaen"/>
          <w:i/>
          <w:sz w:val="24"/>
          <w:szCs w:val="24"/>
          <w:lang w:val="ru-RU" w:eastAsia="ru-RU"/>
        </w:rPr>
        <w:t>եզրակացություն</w:t>
      </w:r>
      <w:r w:rsidRPr="00C045C4">
        <w:rPr>
          <w:rFonts w:ascii="Sylfaen" w:eastAsia="Times New Roman" w:hAnsi="Sylfaen" w:cs="Sylfaen"/>
          <w:i/>
          <w:sz w:val="24"/>
          <w:szCs w:val="24"/>
          <w:lang w:eastAsia="ru-RU"/>
        </w:rPr>
        <w:t>»</w:t>
      </w:r>
      <w:r w:rsidRPr="00C045C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EE79AD" w:rsidRDefault="00EE79AD">
      <w:pPr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4"/>
      </w:tblGrid>
      <w:tr w:rsidR="00EE79AD" w:rsidRPr="009A19E7" w:rsidTr="00A6270A">
        <w:tc>
          <w:tcPr>
            <w:tcW w:w="9864" w:type="dxa"/>
            <w:shd w:val="clear" w:color="auto" w:fill="DAEEF3" w:themeFill="accent5" w:themeFillTint="33"/>
          </w:tcPr>
          <w:p w:rsidR="00EE79AD" w:rsidRPr="009A19E7" w:rsidRDefault="00EE79AD">
            <w:pPr>
              <w:rPr>
                <w:rFonts w:ascii="Sylfaen" w:hAnsi="Sylfaen"/>
                <w:sz w:val="24"/>
                <w:szCs w:val="24"/>
              </w:rPr>
            </w:pPr>
          </w:p>
          <w:p w:rsidR="00EE79AD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Հարց. </w:t>
            </w:r>
          </w:p>
          <w:p w:rsidR="00EE79AD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</w:p>
          <w:p w:rsidR="00EE79AD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>Կոնվենցիայի 6-րդ հոդվածի ո՞ր դրույթներով սահմանված իրավունքներն ապահովելու նպատակով է Վճռաբեկ դատարանը կայացրել վերը նշված որոշումը.</w:t>
            </w:r>
          </w:p>
          <w:p w:rsidR="00EE79AD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</w:p>
          <w:p w:rsidR="00A6270A" w:rsidRPr="009A19E7" w:rsidRDefault="00A6270A" w:rsidP="00EE79AD">
            <w:pPr>
              <w:rPr>
                <w:rFonts w:ascii="Sylfaen" w:hAnsi="Sylfaen"/>
                <w:sz w:val="24"/>
                <w:szCs w:val="24"/>
                <w:highlight w:val="yellow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 </w:t>
            </w:r>
            <w:r w:rsidR="00EE79AD" w:rsidRPr="009A19E7">
              <w:rPr>
                <w:rFonts w:ascii="Sylfaen" w:hAnsi="Sylfaen"/>
                <w:sz w:val="24"/>
                <w:szCs w:val="24"/>
                <w:highlight w:val="yellow"/>
              </w:rPr>
              <w:t>ա. 6-րդ հոդվածի 3-րդ մասի ա-կետ</w:t>
            </w:r>
            <w:r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(մեղադրանի բնույթի և հիմքի մասին </w:t>
            </w:r>
          </w:p>
          <w:p w:rsidR="00A6270A" w:rsidRPr="009A19E7" w:rsidRDefault="00A6270A" w:rsidP="00EE79AD">
            <w:pPr>
              <w:rPr>
                <w:rFonts w:ascii="Sylfaen" w:hAnsi="Sylfaen"/>
                <w:sz w:val="24"/>
                <w:szCs w:val="24"/>
                <w:highlight w:val="yellow"/>
              </w:rPr>
            </w:pPr>
            <w:r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                                                                    անհապաղ տեղեկացվելու իրավունք) </w:t>
            </w:r>
            <w:r w:rsidR="00EE79AD"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բ.  6-րդ հոդվածի 3-րդ մասի բ-կետի</w:t>
            </w:r>
            <w:r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(բավարար ժամանակ ու </w:t>
            </w:r>
          </w:p>
          <w:p w:rsidR="00A6270A" w:rsidRPr="009A19E7" w:rsidRDefault="00A6270A" w:rsidP="00EE79AD">
            <w:pPr>
              <w:rPr>
                <w:rFonts w:ascii="Sylfaen" w:hAnsi="Sylfaen"/>
                <w:sz w:val="24"/>
                <w:szCs w:val="24"/>
                <w:highlight w:val="yellow"/>
              </w:rPr>
            </w:pPr>
            <w:r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                                                                  հնարավորություն պաշտպանությունը </w:t>
            </w:r>
          </w:p>
          <w:p w:rsidR="00EE79AD" w:rsidRPr="009A19E7" w:rsidRDefault="00A6270A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  <w:highlight w:val="yellow"/>
              </w:rPr>
              <w:t xml:space="preserve">                                                                    նախապատրաստելու համար)</w:t>
            </w:r>
            <w:r w:rsidR="00EE79AD" w:rsidRPr="009A19E7">
              <w:rPr>
                <w:rFonts w:ascii="Sylfaen" w:hAnsi="Sylfaen"/>
                <w:sz w:val="24"/>
                <w:szCs w:val="24"/>
                <w:highlight w:val="yellow"/>
              </w:rPr>
              <w:t>,</w:t>
            </w:r>
          </w:p>
          <w:p w:rsidR="00A6270A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>գ.  6-րդ հոդվածի 3-րդ մասի գ-կետ</w:t>
            </w:r>
            <w:r w:rsidR="00A6270A" w:rsidRPr="009A19E7">
              <w:rPr>
                <w:rFonts w:ascii="Sylfaen" w:hAnsi="Sylfaen"/>
                <w:sz w:val="24"/>
                <w:szCs w:val="24"/>
              </w:rPr>
              <w:t xml:space="preserve">    (պաշտպանի իրավունք կամ իր </w:t>
            </w:r>
          </w:p>
          <w:p w:rsidR="00A6270A" w:rsidRPr="009A19E7" w:rsidRDefault="00A6270A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                                                                    պաշտպանություն անձամբ </w:t>
            </w:r>
          </w:p>
          <w:p w:rsidR="00EE79AD" w:rsidRPr="009A19E7" w:rsidRDefault="00A6270A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                                                                    կատարելու իրավունք</w:t>
            </w:r>
            <w:r w:rsidR="00EE79AD" w:rsidRPr="009A19E7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:rsidR="00A6270A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>դ.  6-րդ հոդվածի 3-րդ մասի դ-կետ</w:t>
            </w:r>
            <w:r w:rsidR="00A6270A" w:rsidRPr="009A19E7">
              <w:rPr>
                <w:rFonts w:ascii="Sylfaen" w:hAnsi="Sylfaen"/>
                <w:sz w:val="24"/>
                <w:szCs w:val="24"/>
              </w:rPr>
              <w:t xml:space="preserve">    (իր վկաներին կամ իր դեմ ցուցմունք  </w:t>
            </w:r>
          </w:p>
          <w:p w:rsidR="00A6270A" w:rsidRPr="009A19E7" w:rsidRDefault="00A6270A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                                                                    տված անձանց հարցաքննելու </w:t>
            </w:r>
          </w:p>
          <w:p w:rsidR="00EE79AD" w:rsidRPr="009A19E7" w:rsidRDefault="00A6270A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 xml:space="preserve">                                                                    իրավունք)</w:t>
            </w:r>
            <w:r w:rsidR="00EE79AD" w:rsidRPr="009A19E7">
              <w:rPr>
                <w:rFonts w:ascii="Sylfaen" w:hAnsi="Sylfaen"/>
                <w:sz w:val="24"/>
                <w:szCs w:val="24"/>
              </w:rPr>
              <w:t xml:space="preserve">, </w:t>
            </w:r>
          </w:p>
          <w:p w:rsidR="00EE79AD" w:rsidRPr="009A19E7" w:rsidRDefault="00EE79AD" w:rsidP="00EE79AD">
            <w:pPr>
              <w:rPr>
                <w:rFonts w:ascii="Sylfaen" w:hAnsi="Sylfaen"/>
                <w:sz w:val="24"/>
                <w:szCs w:val="24"/>
              </w:rPr>
            </w:pPr>
            <w:r w:rsidRPr="009A19E7">
              <w:rPr>
                <w:rFonts w:ascii="Sylfaen" w:hAnsi="Sylfaen"/>
                <w:sz w:val="24"/>
                <w:szCs w:val="24"/>
              </w:rPr>
              <w:t>ե.  6-րդ հոդվածի 3-րդ մասի ե-կետ</w:t>
            </w:r>
            <w:r w:rsidR="00A6270A" w:rsidRPr="009A19E7">
              <w:rPr>
                <w:rFonts w:ascii="Sylfaen" w:hAnsi="Sylfaen"/>
                <w:sz w:val="24"/>
                <w:szCs w:val="24"/>
              </w:rPr>
              <w:t xml:space="preserve">     (անվճար թարգմանչի իրավունք)</w:t>
            </w:r>
            <w:r w:rsidRPr="009A19E7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:rsidR="00EE79AD" w:rsidRPr="009A19E7" w:rsidRDefault="00EE79AD">
            <w:pPr>
              <w:rPr>
                <w:rFonts w:ascii="Sylfaen" w:hAnsi="Sylfaen"/>
                <w:sz w:val="24"/>
                <w:szCs w:val="24"/>
              </w:rPr>
            </w:pPr>
          </w:p>
        </w:tc>
      </w:tr>
      <w:tr w:rsidR="00A6270A" w:rsidRPr="009A19E7" w:rsidTr="00A6270A">
        <w:tc>
          <w:tcPr>
            <w:tcW w:w="9864" w:type="dxa"/>
            <w:shd w:val="clear" w:color="auto" w:fill="DAEEF3" w:themeFill="accent5" w:themeFillTint="33"/>
          </w:tcPr>
          <w:p w:rsidR="00A6270A" w:rsidRPr="009A19E7" w:rsidRDefault="00A6270A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F34F29" w:rsidRPr="009A19E7" w:rsidRDefault="00A6270A">
      <w:pPr>
        <w:rPr>
          <w:rFonts w:ascii="Arial LatArm" w:hAnsi="Arial LatArm"/>
          <w:sz w:val="24"/>
          <w:szCs w:val="24"/>
        </w:rPr>
      </w:pPr>
      <w:r w:rsidRPr="009A19E7">
        <w:rPr>
          <w:rFonts w:ascii="Arial LatArm" w:hAnsi="Arial LatArm"/>
          <w:sz w:val="24"/>
          <w:szCs w:val="24"/>
        </w:rPr>
        <w:t>ÉÇ É»½íáí ³ÝÑ³å³Õ áõ Ñ³Ý·³Ù³Ýáñ»Ý ï»Õ»Ï³óí»Éáõ Çñ»Ý Ý»ñÏ³Û³óí³Í Ù»Õ³¹ñ³ÝùÇ µÝáõÛÃÇ ¨ ÑÇÙùÇ Ù³ëÇÝ,</w:t>
      </w:r>
    </w:p>
    <w:p w:rsidR="00A6270A" w:rsidRDefault="00A6270A">
      <w:pPr>
        <w:rPr>
          <w:rFonts w:ascii="Sylfaen" w:hAnsi="Sylfaen"/>
          <w:sz w:val="24"/>
          <w:szCs w:val="24"/>
        </w:rPr>
      </w:pPr>
    </w:p>
    <w:p w:rsidR="00A6270A" w:rsidRDefault="00A6270A">
      <w:pPr>
        <w:rPr>
          <w:rFonts w:ascii="Sylfaen" w:hAnsi="Sylfaen"/>
          <w:sz w:val="24"/>
          <w:szCs w:val="24"/>
        </w:rPr>
      </w:pPr>
    </w:p>
    <w:p w:rsidR="00A6270A" w:rsidRDefault="00A6270A">
      <w:pPr>
        <w:rPr>
          <w:rFonts w:ascii="Sylfaen" w:hAnsi="Sylfaen"/>
          <w:sz w:val="24"/>
          <w:szCs w:val="24"/>
        </w:rPr>
      </w:pPr>
    </w:p>
    <w:p w:rsidR="00C045C4" w:rsidRDefault="00EE79AD">
      <w:pPr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ՀՀ Սահմանադրական դատարանն այնուհետև իր ՍԴՈ-934 որոշմամբ որոշեց հետևյալը. </w:t>
      </w:r>
    </w:p>
    <w:p w:rsidR="00EE79AD" w:rsidRDefault="00EE79AD" w:rsidP="00EE79AD">
      <w:pPr>
        <w:tabs>
          <w:tab w:val="left" w:pos="1080"/>
        </w:tabs>
        <w:ind w:left="72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ա. </w:t>
      </w:r>
      <w:r>
        <w:rPr>
          <w:rFonts w:ascii="Sylfaen" w:hAnsi="Sylfaen"/>
          <w:sz w:val="24"/>
          <w:szCs w:val="24"/>
        </w:rPr>
        <w:tab/>
        <w:t xml:space="preserve">մեղադրական եզրակացությունը կազմվում է բացառապես քննիչի կողմից, </w:t>
      </w:r>
    </w:p>
    <w:p w:rsidR="00EE79AD" w:rsidRDefault="00EE79AD" w:rsidP="00EE79AD">
      <w:pPr>
        <w:tabs>
          <w:tab w:val="left" w:pos="1080"/>
        </w:tabs>
        <w:ind w:left="720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բ. </w:t>
      </w:r>
      <w:r>
        <w:rPr>
          <w:rFonts w:ascii="Sylfaen" w:hAnsi="Sylfaen"/>
          <w:sz w:val="24"/>
          <w:szCs w:val="24"/>
        </w:rPr>
        <w:tab/>
        <w:t xml:space="preserve">դատախազին նման լիազորություն վերապահված չէ, </w:t>
      </w:r>
    </w:p>
    <w:p w:rsidR="00EE79AD" w:rsidRDefault="00EE79AD" w:rsidP="00EE79AD">
      <w:pPr>
        <w:tabs>
          <w:tab w:val="left" w:pos="1080"/>
        </w:tabs>
        <w:ind w:left="1080" w:hanging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գ.</w:t>
      </w:r>
      <w:r>
        <w:rPr>
          <w:rFonts w:ascii="Sylfaen" w:hAnsi="Sylfaen"/>
          <w:sz w:val="24"/>
          <w:szCs w:val="24"/>
        </w:rPr>
        <w:tab/>
        <w:t>քրեական դատավարության օրենսգիրքը սահմանում է մի շարք պաշտպանական հնարավորություններ, օրինակ, 309</w:t>
      </w:r>
      <w:r w:rsidRPr="00EE79AD">
        <w:rPr>
          <w:rFonts w:ascii="Sylfaen" w:hAnsi="Sylfaen"/>
          <w:sz w:val="24"/>
          <w:szCs w:val="24"/>
          <w:vertAlign w:val="superscript"/>
        </w:rPr>
        <w:t>1</w:t>
      </w:r>
      <w:r>
        <w:rPr>
          <w:rFonts w:ascii="Sylfaen" w:hAnsi="Sylfaen"/>
          <w:sz w:val="24"/>
          <w:szCs w:val="24"/>
        </w:rPr>
        <w:t xml:space="preserve"> հոդվածի 4-րդ մասը հնարավորությում է տալիս ամբաստանյալին, նրա պաշտպանին</w:t>
      </w:r>
      <w:r w:rsidR="007E13A3">
        <w:rPr>
          <w:rFonts w:ascii="Sylfaen" w:hAnsi="Sylfaen"/>
          <w:sz w:val="24"/>
          <w:szCs w:val="24"/>
        </w:rPr>
        <w:t>,</w:t>
      </w:r>
      <w:r>
        <w:rPr>
          <w:rFonts w:ascii="Sylfaen" w:hAnsi="Sylfaen"/>
          <w:sz w:val="24"/>
          <w:szCs w:val="24"/>
        </w:rPr>
        <w:t xml:space="preserve"> անկախ նրանց միջնորդությունից</w:t>
      </w:r>
      <w:r w:rsidR="007E13A3">
        <w:rPr>
          <w:rFonts w:ascii="Sylfaen" w:hAnsi="Sylfaen"/>
          <w:sz w:val="24"/>
          <w:szCs w:val="24"/>
        </w:rPr>
        <w:t xml:space="preserve">, տրամադրել ժամանակ նոր մեղադրանքին ծանոթանալու համար, </w:t>
      </w:r>
    </w:p>
    <w:p w:rsidR="007E13A3" w:rsidRDefault="007E13A3" w:rsidP="00EE79AD">
      <w:pPr>
        <w:tabs>
          <w:tab w:val="left" w:pos="1080"/>
        </w:tabs>
        <w:ind w:left="1080" w:hanging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դ.</w:t>
      </w:r>
      <w:r>
        <w:rPr>
          <w:rFonts w:ascii="Sylfaen" w:hAnsi="Sylfaen"/>
          <w:sz w:val="24"/>
          <w:szCs w:val="24"/>
        </w:rPr>
        <w:tab/>
        <w:t>հետևաբար, օրենսդիրը նախատեսել է դատական վարույթի փուլում մեղադրանքը փոփոխելու, լրացնելու դեպքում մեղադրյալի պաշտպանական իրավունքները իրականացնելու հնարավորություն,</w:t>
      </w:r>
    </w:p>
    <w:p w:rsidR="007E13A3" w:rsidRDefault="007E13A3" w:rsidP="007E13A3">
      <w:pPr>
        <w:tabs>
          <w:tab w:val="left" w:pos="1080"/>
        </w:tabs>
        <w:ind w:left="1080" w:hanging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ե. Այսինքն, բոլոր դեպքերում, նույնիսկ մեղադրանքը փոփոխելու դեպքում, բացառվում է, որպեսզի մեղադրանքի փոփոխումը կատարվի դատաքննությունից դուրս՝ հետևաբար նաև դատավարական պաշտպանական երաշխիքների բացակայությամբ:  </w:t>
      </w:r>
    </w:p>
    <w:p w:rsidR="00EE79AD" w:rsidRDefault="00EE79AD">
      <w:pPr>
        <w:rPr>
          <w:rFonts w:ascii="Sylfaen" w:hAnsi="Sylfae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4"/>
      </w:tblGrid>
      <w:tr w:rsidR="007E13A3" w:rsidTr="007E13A3">
        <w:tc>
          <w:tcPr>
            <w:tcW w:w="9905" w:type="dxa"/>
            <w:shd w:val="clear" w:color="auto" w:fill="DAEEF3" w:themeFill="accent5" w:themeFillTint="33"/>
          </w:tcPr>
          <w:p w:rsidR="007E13A3" w:rsidRDefault="007E13A3">
            <w:pPr>
              <w:rPr>
                <w:rFonts w:ascii="Sylfaen" w:hAnsi="Sylfaen"/>
                <w:sz w:val="24"/>
                <w:szCs w:val="24"/>
              </w:rPr>
            </w:pPr>
          </w:p>
          <w:p w:rsidR="007E13A3" w:rsidRPr="007E13A3" w:rsidRDefault="007E13A3" w:rsidP="007E13A3">
            <w:pPr>
              <w:jc w:val="both"/>
              <w:rPr>
                <w:rFonts w:ascii="Sylfaen" w:hAnsi="Sylfaen"/>
                <w:sz w:val="28"/>
                <w:szCs w:val="28"/>
              </w:rPr>
            </w:pPr>
            <w:r w:rsidRPr="007E13A3">
              <w:rPr>
                <w:rFonts w:ascii="Sylfaen" w:hAnsi="Sylfaen"/>
                <w:sz w:val="28"/>
                <w:szCs w:val="28"/>
              </w:rPr>
              <w:t>Հարց.</w:t>
            </w:r>
          </w:p>
          <w:p w:rsidR="007E13A3" w:rsidRPr="007E13A3" w:rsidRDefault="007E13A3" w:rsidP="007E13A3">
            <w:pPr>
              <w:jc w:val="both"/>
              <w:rPr>
                <w:rFonts w:ascii="Sylfaen" w:hAnsi="Sylfaen"/>
                <w:sz w:val="28"/>
                <w:szCs w:val="28"/>
              </w:rPr>
            </w:pPr>
          </w:p>
          <w:p w:rsidR="007E13A3" w:rsidRPr="007E13A3" w:rsidRDefault="007E13A3" w:rsidP="007E13A3">
            <w:pPr>
              <w:jc w:val="both"/>
              <w:rPr>
                <w:rFonts w:ascii="Sylfaen" w:hAnsi="Sylfaen"/>
                <w:sz w:val="28"/>
                <w:szCs w:val="28"/>
              </w:rPr>
            </w:pPr>
            <w:r w:rsidRPr="007E13A3">
              <w:rPr>
                <w:rFonts w:ascii="Sylfaen" w:hAnsi="Sylfaen"/>
                <w:sz w:val="28"/>
                <w:szCs w:val="28"/>
              </w:rPr>
              <w:t xml:space="preserve">Ձեր կարծիքով արդյո՞ք Սահմանադրական դատարանի իրավական դիրքորոշումները կարող են վերացնել պաշտպանական իրավունքի այն բացերը, որոնց վրա մատնացույց էր անում Վճռաբեկ դատարանը Նալբանդյանի գործում: </w:t>
            </w:r>
          </w:p>
          <w:p w:rsidR="007E13A3" w:rsidRDefault="007E13A3">
            <w:pPr>
              <w:rPr>
                <w:rFonts w:ascii="Sylfaen" w:hAnsi="Sylfaen"/>
                <w:sz w:val="24"/>
                <w:szCs w:val="24"/>
              </w:rPr>
            </w:pPr>
          </w:p>
        </w:tc>
      </w:tr>
    </w:tbl>
    <w:p w:rsidR="007E13A3" w:rsidRDefault="007E13A3">
      <w:pPr>
        <w:rPr>
          <w:rFonts w:ascii="Sylfaen" w:hAnsi="Sylfaen"/>
          <w:sz w:val="24"/>
          <w:szCs w:val="24"/>
        </w:rPr>
      </w:pPr>
    </w:p>
    <w:p w:rsidR="00F638F5" w:rsidRDefault="00F638F5">
      <w:pPr>
        <w:rPr>
          <w:rFonts w:ascii="Sylfaen" w:hAnsi="Sylfaen"/>
          <w:sz w:val="24"/>
          <w:szCs w:val="24"/>
        </w:rPr>
      </w:pPr>
    </w:p>
    <w:p w:rsidR="00F638F5" w:rsidRDefault="00F638F5">
      <w:pPr>
        <w:rPr>
          <w:rFonts w:ascii="Sylfaen" w:hAnsi="Sylfaen"/>
          <w:sz w:val="24"/>
          <w:szCs w:val="24"/>
        </w:rPr>
      </w:pPr>
    </w:p>
    <w:p w:rsidR="007E13A3" w:rsidRDefault="007E13A3">
      <w:pPr>
        <w:rPr>
          <w:rFonts w:ascii="Sylfaen" w:hAnsi="Sylfaen"/>
          <w:sz w:val="24"/>
          <w:szCs w:val="24"/>
        </w:rPr>
      </w:pPr>
    </w:p>
    <w:p w:rsidR="00085583" w:rsidRPr="00F34F29" w:rsidRDefault="00085583" w:rsidP="00181455">
      <w:pPr>
        <w:pStyle w:val="ListParagraph"/>
        <w:numPr>
          <w:ilvl w:val="0"/>
          <w:numId w:val="3"/>
        </w:numPr>
        <w:ind w:left="90" w:hanging="54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lastRenderedPageBreak/>
        <w:t xml:space="preserve">ստ Կոնվենցիայի 6-րդ հոդվածի, </w:t>
      </w:r>
      <w:r w:rsidR="001F6C5C" w:rsidRPr="00F34F29">
        <w:rPr>
          <w:rFonts w:ascii="Sylfaen" w:hAnsi="Sylfaen"/>
          <w:sz w:val="28"/>
          <w:szCs w:val="28"/>
        </w:rPr>
        <w:t>ինքնությունը չբացահայտված (</w:t>
      </w:r>
      <w:r w:rsidRPr="00F34F29">
        <w:rPr>
          <w:rFonts w:ascii="Sylfaen" w:hAnsi="Sylfaen"/>
          <w:sz w:val="28"/>
          <w:szCs w:val="28"/>
        </w:rPr>
        <w:t>անանուն</w:t>
      </w:r>
      <w:r w:rsidR="001F6C5C" w:rsidRPr="00F34F29">
        <w:rPr>
          <w:rFonts w:ascii="Sylfaen" w:hAnsi="Sylfaen"/>
          <w:sz w:val="28"/>
          <w:szCs w:val="28"/>
        </w:rPr>
        <w:t>)</w:t>
      </w:r>
      <w:r w:rsidRPr="00F34F29">
        <w:rPr>
          <w:rFonts w:ascii="Sylfaen" w:hAnsi="Sylfaen"/>
          <w:sz w:val="28"/>
          <w:szCs w:val="28"/>
        </w:rPr>
        <w:t xml:space="preserve"> վկաների ցուցմունքները.</w:t>
      </w:r>
    </w:p>
    <w:p w:rsidR="00F34F29" w:rsidRPr="00F34F29" w:rsidRDefault="00F34F29" w:rsidP="00F34F29">
      <w:pPr>
        <w:pStyle w:val="ListParagraph"/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085583" w:rsidRPr="00F34F29" w:rsidRDefault="00085583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 xml:space="preserve"> ա. </w:t>
      </w:r>
      <w:r w:rsidR="00F34F29">
        <w:rPr>
          <w:rFonts w:ascii="Sylfaen" w:hAnsi="Sylfaen"/>
          <w:sz w:val="28"/>
          <w:szCs w:val="28"/>
        </w:rPr>
        <w:tab/>
      </w:r>
      <w:r w:rsidRPr="00F34F29">
        <w:rPr>
          <w:rFonts w:ascii="Sylfaen" w:hAnsi="Sylfaen"/>
          <w:sz w:val="28"/>
          <w:szCs w:val="28"/>
        </w:rPr>
        <w:t>ոչ մի պարագայում չեն կարող դրվել դատապարտման հիմքում,</w:t>
      </w:r>
    </w:p>
    <w:p w:rsidR="00085583" w:rsidRPr="00F34F29" w:rsidRDefault="00085583" w:rsidP="00F34F29">
      <w:pPr>
        <w:tabs>
          <w:tab w:val="left" w:pos="1170"/>
          <w:tab w:val="left" w:pos="1710"/>
        </w:tabs>
        <w:ind w:left="1170" w:hanging="540"/>
        <w:jc w:val="both"/>
        <w:rPr>
          <w:rFonts w:ascii="Sylfaen" w:hAnsi="Sylfaen"/>
          <w:sz w:val="28"/>
          <w:szCs w:val="28"/>
        </w:rPr>
      </w:pPr>
      <w:r w:rsidRPr="00F12B81">
        <w:rPr>
          <w:rFonts w:ascii="Sylfaen" w:hAnsi="Sylfaen"/>
          <w:sz w:val="28"/>
          <w:szCs w:val="28"/>
          <w:highlight w:val="yellow"/>
        </w:rPr>
        <w:t>բ.</w:t>
      </w:r>
      <w:r w:rsidRPr="00F12B81">
        <w:rPr>
          <w:rFonts w:ascii="Sylfaen" w:hAnsi="Sylfaen"/>
          <w:sz w:val="28"/>
          <w:szCs w:val="28"/>
          <w:highlight w:val="yellow"/>
        </w:rPr>
        <w:tab/>
        <w:t>կարող են դրվել դատապարտման հիմքում, եթե դատապարտումը բացառապես կամ վճռորոշ չափով հիմնված չէ նման վկաների ցուցմունքների վրա,</w:t>
      </w:r>
    </w:p>
    <w:p w:rsidR="00085583" w:rsidRPr="00F34F29" w:rsidRDefault="00085583" w:rsidP="00F34F29">
      <w:pPr>
        <w:tabs>
          <w:tab w:val="left" w:pos="1170"/>
          <w:tab w:val="left" w:pos="1530"/>
        </w:tabs>
        <w:ind w:left="1170" w:hanging="54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>գ.</w:t>
      </w:r>
      <w:r w:rsidRPr="00F34F29">
        <w:rPr>
          <w:rFonts w:ascii="Sylfaen" w:hAnsi="Sylfaen"/>
          <w:sz w:val="28"/>
          <w:szCs w:val="28"/>
        </w:rPr>
        <w:tab/>
        <w:t xml:space="preserve"> կարող են դրվել դատապարտման հիմքում, եթե արդարադատության շահը գերակայում է, </w:t>
      </w:r>
    </w:p>
    <w:p w:rsidR="00085583" w:rsidRPr="00F34F29" w:rsidRDefault="00085583" w:rsidP="00F34F29">
      <w:pPr>
        <w:tabs>
          <w:tab w:val="left" w:pos="1170"/>
          <w:tab w:val="left" w:pos="1800"/>
        </w:tabs>
        <w:ind w:left="1170" w:hanging="540"/>
        <w:jc w:val="both"/>
        <w:rPr>
          <w:rFonts w:ascii="Sylfaen" w:hAnsi="Sylfaen"/>
          <w:sz w:val="28"/>
          <w:szCs w:val="28"/>
        </w:rPr>
      </w:pPr>
      <w:r w:rsidRPr="00F34F29">
        <w:rPr>
          <w:rFonts w:ascii="Sylfaen" w:hAnsi="Sylfaen"/>
          <w:sz w:val="28"/>
          <w:szCs w:val="28"/>
        </w:rPr>
        <w:t>դ.</w:t>
      </w:r>
      <w:r w:rsidRPr="00F34F29">
        <w:rPr>
          <w:rFonts w:ascii="Sylfaen" w:hAnsi="Sylfaen"/>
          <w:sz w:val="28"/>
          <w:szCs w:val="28"/>
        </w:rPr>
        <w:tab/>
      </w:r>
      <w:r w:rsidR="001F6C5C" w:rsidRPr="00F34F29">
        <w:rPr>
          <w:rFonts w:ascii="Sylfaen" w:hAnsi="Sylfaen"/>
          <w:sz w:val="28"/>
          <w:szCs w:val="28"/>
        </w:rPr>
        <w:t xml:space="preserve">կարող են դրվել դատապարտման հիմքում՝ կազմակերպված հանցավորության և ահաբեկչության դեմ տարվող պայքարի շրջանակներում քննվող գործերի </w:t>
      </w:r>
      <w:r w:rsidR="00952271">
        <w:rPr>
          <w:rFonts w:ascii="Sylfaen" w:hAnsi="Sylfaen"/>
          <w:sz w:val="28"/>
          <w:szCs w:val="28"/>
        </w:rPr>
        <w:t>կապակցությամբ</w:t>
      </w:r>
      <w:r w:rsidR="001F6C5C" w:rsidRPr="00F34F29">
        <w:rPr>
          <w:rFonts w:ascii="Sylfaen" w:hAnsi="Sylfaen"/>
          <w:sz w:val="28"/>
          <w:szCs w:val="28"/>
        </w:rPr>
        <w:t xml:space="preserve">: </w:t>
      </w:r>
    </w:p>
    <w:p w:rsidR="001F6C5C" w:rsidRPr="00F34F29" w:rsidRDefault="001F6C5C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1F6C5C" w:rsidRDefault="001F6C5C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952271" w:rsidRDefault="00DB3DF1" w:rsidP="00DA1397">
      <w:pPr>
        <w:pStyle w:val="ListParagraph"/>
        <w:numPr>
          <w:ilvl w:val="0"/>
          <w:numId w:val="3"/>
        </w:numPr>
        <w:tabs>
          <w:tab w:val="left" w:pos="1170"/>
          <w:tab w:val="left" w:pos="1350"/>
        </w:tabs>
        <w:ind w:left="0" w:hanging="54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lastRenderedPageBreak/>
        <w:t>Մ</w:t>
      </w:r>
      <w:r w:rsidR="00DA1397">
        <w:rPr>
          <w:rFonts w:ascii="Sylfaen" w:hAnsi="Sylfaen"/>
          <w:sz w:val="28"/>
          <w:szCs w:val="28"/>
        </w:rPr>
        <w:t>եղադրյալի՝ իր դեմ ցուցմունք տվող վկաներին հարցաքննելու իրավունքը</w:t>
      </w:r>
      <w:r>
        <w:rPr>
          <w:rFonts w:ascii="Sylfaen" w:hAnsi="Sylfaen"/>
          <w:sz w:val="28"/>
          <w:szCs w:val="28"/>
        </w:rPr>
        <w:t>, ըստ</w:t>
      </w:r>
      <w:r w:rsidR="00DA1397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 xml:space="preserve">Կոնվենցիայի 6-րդ հոդվածի 3-րդ մասի դ-կետի, պահանջվում է </w:t>
      </w:r>
    </w:p>
    <w:p w:rsidR="00DA1397" w:rsidRDefault="00DA1397" w:rsidP="00DA1397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DA1397" w:rsidRDefault="00DA1397" w:rsidP="00DA1397">
      <w:pPr>
        <w:tabs>
          <w:tab w:val="left" w:pos="1800"/>
          <w:tab w:val="left" w:pos="2250"/>
        </w:tabs>
        <w:ind w:left="1170" w:hanging="45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ա. </w:t>
      </w:r>
      <w:r w:rsidR="00DB3DF1">
        <w:rPr>
          <w:rFonts w:ascii="Sylfaen" w:hAnsi="Sylfaen"/>
          <w:sz w:val="28"/>
          <w:szCs w:val="28"/>
        </w:rPr>
        <w:t xml:space="preserve">ապահովել և՛ նախաքննութան, և՛ դատաքննության փուլերում, </w:t>
      </w:r>
    </w:p>
    <w:p w:rsidR="00DB3DF1" w:rsidRDefault="00DB3DF1" w:rsidP="00DA1397">
      <w:pPr>
        <w:tabs>
          <w:tab w:val="left" w:pos="1800"/>
          <w:tab w:val="left" w:pos="2250"/>
        </w:tabs>
        <w:ind w:left="1170" w:hanging="450"/>
        <w:jc w:val="both"/>
        <w:rPr>
          <w:rFonts w:ascii="Sylfaen" w:hAnsi="Sylfaen"/>
          <w:sz w:val="28"/>
          <w:szCs w:val="28"/>
        </w:rPr>
      </w:pPr>
      <w:r w:rsidRPr="00F12B81">
        <w:rPr>
          <w:rFonts w:ascii="Sylfaen" w:hAnsi="Sylfaen"/>
          <w:sz w:val="28"/>
          <w:szCs w:val="28"/>
          <w:highlight w:val="yellow"/>
        </w:rPr>
        <w:t>բ. կամ նախաքննության, կամ դատաքննության փուլերում</w:t>
      </w:r>
    </w:p>
    <w:p w:rsidR="00DB3DF1" w:rsidRDefault="00DB3DF1" w:rsidP="00DA1397">
      <w:pPr>
        <w:tabs>
          <w:tab w:val="left" w:pos="1800"/>
          <w:tab w:val="left" w:pos="2250"/>
        </w:tabs>
        <w:ind w:left="1170" w:hanging="45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գ. միայն նախաքննության փուլում, </w:t>
      </w:r>
    </w:p>
    <w:p w:rsidR="00DB3DF1" w:rsidRPr="00DA1397" w:rsidRDefault="00DB3DF1" w:rsidP="00DA1397">
      <w:pPr>
        <w:tabs>
          <w:tab w:val="left" w:pos="1800"/>
          <w:tab w:val="left" w:pos="2250"/>
        </w:tabs>
        <w:ind w:left="1170" w:hanging="45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դ. միայն դատաքննության փուլում:</w:t>
      </w:r>
    </w:p>
    <w:p w:rsidR="00952271" w:rsidRPr="00F34F29" w:rsidRDefault="00952271" w:rsidP="00F34F29">
      <w:pPr>
        <w:tabs>
          <w:tab w:val="left" w:pos="1170"/>
          <w:tab w:val="left" w:pos="1350"/>
        </w:tabs>
        <w:ind w:left="1350" w:hanging="720"/>
        <w:jc w:val="both"/>
        <w:rPr>
          <w:rFonts w:ascii="Sylfaen" w:hAnsi="Sylfaen"/>
          <w:sz w:val="28"/>
          <w:szCs w:val="28"/>
        </w:rPr>
      </w:pPr>
    </w:p>
    <w:p w:rsidR="00085583" w:rsidRDefault="00085583" w:rsidP="00085583">
      <w:pPr>
        <w:ind w:left="360" w:hanging="360"/>
        <w:rPr>
          <w:rFonts w:ascii="Sylfaen" w:hAnsi="Sylfaen"/>
          <w:sz w:val="24"/>
          <w:szCs w:val="24"/>
        </w:rPr>
      </w:pPr>
    </w:p>
    <w:p w:rsidR="00085583" w:rsidRDefault="00085583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>
      <w:pPr>
        <w:rPr>
          <w:rFonts w:ascii="Sylfaen" w:hAnsi="Sylfaen"/>
          <w:sz w:val="24"/>
          <w:szCs w:val="24"/>
        </w:rPr>
      </w:pPr>
    </w:p>
    <w:p w:rsidR="00B541BE" w:rsidRDefault="00B541BE" w:rsidP="00B541BE">
      <w:pPr>
        <w:pStyle w:val="ListParagraph"/>
        <w:numPr>
          <w:ilvl w:val="0"/>
          <w:numId w:val="3"/>
        </w:numPr>
        <w:tabs>
          <w:tab w:val="left" w:pos="1170"/>
          <w:tab w:val="left" w:pos="1350"/>
        </w:tabs>
        <w:ind w:left="0" w:hanging="540"/>
        <w:jc w:val="both"/>
        <w:rPr>
          <w:rFonts w:ascii="Sylfaen" w:hAnsi="Sylfaen"/>
          <w:sz w:val="28"/>
          <w:szCs w:val="28"/>
        </w:rPr>
      </w:pPr>
      <w:r w:rsidRPr="00B541BE">
        <w:rPr>
          <w:rFonts w:ascii="Sylfaen" w:hAnsi="Sylfaen"/>
          <w:sz w:val="28"/>
          <w:szCs w:val="28"/>
        </w:rPr>
        <w:lastRenderedPageBreak/>
        <w:t>Վկայի պաշտպանության ծրագրի շրջանակներում օպերատիվ գաղտնի գործակալը, ով հանդես էր գալիս որպես վկա, հարցաքննվել է քննիչ</w:t>
      </w:r>
      <w:r w:rsidR="00A107A0">
        <w:rPr>
          <w:rFonts w:ascii="Sylfaen" w:hAnsi="Sylfaen"/>
          <w:sz w:val="28"/>
          <w:szCs w:val="28"/>
        </w:rPr>
        <w:t>ի կողմից</w:t>
      </w:r>
      <w:r w:rsidRPr="00B541BE">
        <w:rPr>
          <w:rFonts w:ascii="Sylfaen" w:hAnsi="Sylfaen"/>
          <w:sz w:val="28"/>
          <w:szCs w:val="28"/>
        </w:rPr>
        <w:t xml:space="preserve">՝ մեղադրյալի պաշտպանի ներկայությամբ: </w:t>
      </w:r>
      <w:r w:rsidR="00A107A0">
        <w:rPr>
          <w:rFonts w:ascii="Sylfaen" w:hAnsi="Sylfaen"/>
          <w:sz w:val="28"/>
          <w:szCs w:val="28"/>
        </w:rPr>
        <w:t xml:space="preserve">Մեղադրյալին չի թույլատրվել մասնակցել հարցաքննությանը և վկային հարցեր ուղղել անձամբ: </w:t>
      </w:r>
      <w:r w:rsidRPr="00B541BE">
        <w:rPr>
          <w:rFonts w:ascii="Sylfaen" w:hAnsi="Sylfaen"/>
          <w:sz w:val="28"/>
          <w:szCs w:val="28"/>
        </w:rPr>
        <w:t>Պաշտպանին թույլատրվել է հարցեր ուղղել գաղտնի գործակալին, սակայն արգելվել է հարցեր տալ գաղտնի գործակալի անձի մասին: Արդյո՞ք տեղի է ունեցել</w:t>
      </w:r>
      <w:r>
        <w:rPr>
          <w:rFonts w:ascii="Sylfaen" w:hAnsi="Sylfaen"/>
          <w:sz w:val="28"/>
          <w:szCs w:val="28"/>
        </w:rPr>
        <w:t xml:space="preserve"> 6-րդ հոդվածի բ-կետի կամ դ-կետի խախտում:</w:t>
      </w:r>
    </w:p>
    <w:p w:rsidR="00B541BE" w:rsidRDefault="00B541BE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>ա.</w:t>
      </w:r>
      <w:r w:rsidR="00610DF4">
        <w:rPr>
          <w:rFonts w:ascii="Sylfaen" w:hAnsi="Sylfaen"/>
          <w:sz w:val="28"/>
          <w:szCs w:val="28"/>
        </w:rPr>
        <w:tab/>
      </w:r>
      <w:r w:rsidR="00610DF4">
        <w:rPr>
          <w:rFonts w:ascii="Sylfaen" w:hAnsi="Sylfaen"/>
          <w:sz w:val="28"/>
          <w:szCs w:val="28"/>
        </w:rPr>
        <w:tab/>
      </w:r>
      <w:r>
        <w:rPr>
          <w:rFonts w:ascii="Sylfaen" w:hAnsi="Sylfaen"/>
          <w:sz w:val="28"/>
          <w:szCs w:val="28"/>
        </w:rPr>
        <w:t xml:space="preserve">այո, քանի  որ դ-կետը հստակորեն սահմանում է, որ մեղադրյալն իրավունք ունի հարցաքննելու իր դեմ ցուցմունք տված վկային, </w:t>
      </w:r>
    </w:p>
    <w:p w:rsidR="00B541BE" w:rsidRDefault="00B541BE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eastAsia="Arial Unicode MS" w:hAnsi="Sylfaen" w:cs="Arial Unicode MS"/>
          <w:sz w:val="28"/>
          <w:szCs w:val="28"/>
        </w:rPr>
      </w:pPr>
      <w:r w:rsidRPr="00B541BE">
        <w:rPr>
          <w:rFonts w:ascii="Sylfaen" w:hAnsi="Sylfaen"/>
          <w:sz w:val="28"/>
          <w:szCs w:val="28"/>
        </w:rPr>
        <w:t>բ.</w:t>
      </w:r>
      <w:r w:rsidRPr="00B541BE">
        <w:rPr>
          <w:rFonts w:ascii="Sylfaen" w:hAnsi="Sylfaen"/>
          <w:sz w:val="28"/>
          <w:szCs w:val="28"/>
        </w:rPr>
        <w:tab/>
      </w:r>
      <w:r w:rsidRPr="00B541BE">
        <w:rPr>
          <w:rFonts w:ascii="Sylfaen" w:hAnsi="Sylfaen"/>
          <w:sz w:val="28"/>
          <w:szCs w:val="28"/>
        </w:rPr>
        <w:tab/>
        <w:t xml:space="preserve">այո, քանի </w:t>
      </w:r>
      <w:r w:rsidR="00610DF4">
        <w:rPr>
          <w:rFonts w:ascii="Sylfaen" w:hAnsi="Sylfaen"/>
          <w:sz w:val="28"/>
          <w:szCs w:val="28"/>
        </w:rPr>
        <w:t xml:space="preserve">որ </w:t>
      </w:r>
      <w:r w:rsidRPr="00B541BE">
        <w:rPr>
          <w:rFonts w:ascii="Sylfaen" w:hAnsi="Sylfaen"/>
          <w:sz w:val="28"/>
          <w:szCs w:val="28"/>
        </w:rPr>
        <w:t xml:space="preserve">պարտադիր կանոն է, </w:t>
      </w:r>
      <w:r w:rsidRPr="00B541BE">
        <w:rPr>
          <w:rFonts w:ascii="Sylfaen" w:eastAsia="Arial Unicode MS" w:hAnsi="Sylfaen" w:cs="Arial Unicode MS"/>
          <w:sz w:val="28"/>
          <w:szCs w:val="28"/>
        </w:rPr>
        <w:t>որպեսզի մեղադրյալը առերես ճանաչի այն անձին, ով իր դեմ ցուցմունք է տվել</w:t>
      </w:r>
      <w:r>
        <w:rPr>
          <w:rFonts w:ascii="Sylfaen" w:eastAsia="Arial Unicode MS" w:hAnsi="Sylfaen" w:cs="Arial Unicode MS"/>
          <w:sz w:val="28"/>
          <w:szCs w:val="28"/>
        </w:rPr>
        <w:t xml:space="preserve">, </w:t>
      </w:r>
    </w:p>
    <w:p w:rsidR="00B541BE" w:rsidRDefault="00B541BE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eastAsia="Arial Unicode MS" w:hAnsi="Sylfaen" w:cs="Arial Unicode MS"/>
          <w:sz w:val="28"/>
          <w:szCs w:val="28"/>
        </w:rPr>
      </w:pPr>
      <w:r w:rsidRPr="00F12B81">
        <w:rPr>
          <w:rFonts w:ascii="Sylfaen" w:eastAsia="Arial Unicode MS" w:hAnsi="Sylfaen" w:cs="Arial Unicode MS"/>
          <w:sz w:val="28"/>
          <w:szCs w:val="28"/>
          <w:highlight w:val="yellow"/>
        </w:rPr>
        <w:t>գ.</w:t>
      </w:r>
      <w:r w:rsidRPr="00F12B81">
        <w:rPr>
          <w:rFonts w:ascii="Sylfaen" w:eastAsia="Arial Unicode MS" w:hAnsi="Sylfaen" w:cs="Arial Unicode MS"/>
          <w:sz w:val="28"/>
          <w:szCs w:val="28"/>
          <w:highlight w:val="yellow"/>
        </w:rPr>
        <w:tab/>
      </w:r>
      <w:r w:rsidRPr="00F12B81">
        <w:rPr>
          <w:rFonts w:ascii="Sylfaen" w:eastAsia="Arial Unicode MS" w:hAnsi="Sylfaen" w:cs="Arial Unicode MS"/>
          <w:sz w:val="28"/>
          <w:szCs w:val="28"/>
          <w:highlight w:val="yellow"/>
        </w:rPr>
        <w:tab/>
        <w:t>ոչ, քանի որ Կոնվենցիան չի բացառում, 6-րդ հոդվածի 3-րդ մասի (դ) կետի իմաստով, մեղադրյալի նույնականացումը իր պաշտպանի հետ,</w:t>
      </w:r>
      <w:r>
        <w:rPr>
          <w:rFonts w:ascii="Sylfaen" w:eastAsia="Arial Unicode MS" w:hAnsi="Sylfaen" w:cs="Arial Unicode MS"/>
          <w:sz w:val="28"/>
          <w:szCs w:val="28"/>
        </w:rPr>
        <w:t xml:space="preserve"> </w:t>
      </w:r>
    </w:p>
    <w:p w:rsidR="00B541BE" w:rsidRDefault="00B541BE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eastAsia="Arial Unicode MS" w:hAnsi="Sylfaen" w:cs="Arial Unicode MS"/>
          <w:sz w:val="28"/>
          <w:szCs w:val="28"/>
        </w:rPr>
      </w:pPr>
      <w:r>
        <w:rPr>
          <w:rFonts w:ascii="Sylfaen" w:eastAsia="Arial Unicode MS" w:hAnsi="Sylfaen" w:cs="Arial Unicode MS"/>
          <w:sz w:val="28"/>
          <w:szCs w:val="28"/>
        </w:rPr>
        <w:t>դ.</w:t>
      </w:r>
      <w:r>
        <w:rPr>
          <w:rFonts w:ascii="Sylfaen" w:eastAsia="Arial Unicode MS" w:hAnsi="Sylfaen" w:cs="Arial Unicode MS"/>
          <w:sz w:val="28"/>
          <w:szCs w:val="28"/>
        </w:rPr>
        <w:tab/>
      </w:r>
      <w:r>
        <w:rPr>
          <w:rFonts w:ascii="Sylfaen" w:eastAsia="Arial Unicode MS" w:hAnsi="Sylfaen" w:cs="Arial Unicode MS"/>
          <w:sz w:val="28"/>
          <w:szCs w:val="28"/>
        </w:rPr>
        <w:tab/>
      </w:r>
      <w:r w:rsidR="00610DF4">
        <w:rPr>
          <w:rFonts w:ascii="Sylfaen" w:eastAsia="Arial Unicode MS" w:hAnsi="Sylfaen" w:cs="Arial Unicode MS"/>
          <w:sz w:val="28"/>
          <w:szCs w:val="28"/>
        </w:rPr>
        <w:t xml:space="preserve">ոչ, քանի որ ապացույցների ձեռք բերման եղանակը Կոնվենցիայի և եվրոպական դատարանի վերահսկողության շրջանակների մեջ չի մտնում: </w:t>
      </w:r>
    </w:p>
    <w:p w:rsidR="00610DF4" w:rsidRDefault="00610DF4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eastAsia="Arial Unicode MS" w:hAnsi="Sylfaen" w:cs="Arial Unicode MS"/>
          <w:sz w:val="28"/>
          <w:szCs w:val="28"/>
        </w:rPr>
      </w:pPr>
    </w:p>
    <w:p w:rsidR="00610DF4" w:rsidRPr="00B541BE" w:rsidRDefault="00610DF4" w:rsidP="00B541BE">
      <w:pPr>
        <w:tabs>
          <w:tab w:val="left" w:pos="1170"/>
          <w:tab w:val="left" w:pos="1350"/>
        </w:tabs>
        <w:ind w:left="1710" w:hanging="720"/>
        <w:jc w:val="both"/>
        <w:rPr>
          <w:rFonts w:ascii="Sylfaen" w:hAnsi="Sylfaen"/>
          <w:sz w:val="28"/>
          <w:szCs w:val="28"/>
        </w:rPr>
      </w:pPr>
    </w:p>
    <w:p w:rsidR="00B541BE" w:rsidRDefault="00B541BE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B541BE" w:rsidRDefault="00B541BE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610DF4" w:rsidRDefault="00610DF4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610DF4" w:rsidRDefault="00610DF4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610DF4" w:rsidRDefault="00610DF4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610DF4" w:rsidRPr="00B541BE" w:rsidRDefault="00610DF4" w:rsidP="00B541BE">
      <w:pPr>
        <w:tabs>
          <w:tab w:val="left" w:pos="1170"/>
          <w:tab w:val="left" w:pos="1350"/>
        </w:tabs>
        <w:jc w:val="both"/>
        <w:rPr>
          <w:rFonts w:ascii="Sylfaen" w:hAnsi="Sylfaen"/>
          <w:sz w:val="28"/>
          <w:szCs w:val="28"/>
        </w:rPr>
      </w:pPr>
    </w:p>
    <w:p w:rsidR="00776A39" w:rsidRDefault="00776A39" w:rsidP="00776A39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lastRenderedPageBreak/>
        <w:t xml:space="preserve">Ընտրեք </w:t>
      </w:r>
      <w:r w:rsidR="0070504B">
        <w:rPr>
          <w:rFonts w:ascii="Sylfaen" w:hAnsi="Sylfaen"/>
          <w:sz w:val="28"/>
          <w:szCs w:val="28"/>
        </w:rPr>
        <w:t>չորս</w:t>
      </w:r>
      <w:r>
        <w:rPr>
          <w:rFonts w:ascii="Sylfaen" w:hAnsi="Sylfaen"/>
          <w:sz w:val="28"/>
          <w:szCs w:val="28"/>
        </w:rPr>
        <w:t xml:space="preserve"> ճիշտ պատասխաններ.</w:t>
      </w:r>
    </w:p>
    <w:p w:rsidR="00776A39" w:rsidRDefault="00776A39" w:rsidP="00776A39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610DF4" w:rsidRDefault="00610DF4" w:rsidP="00B541BE">
      <w:pPr>
        <w:pStyle w:val="ListParagraph"/>
        <w:numPr>
          <w:ilvl w:val="0"/>
          <w:numId w:val="3"/>
        </w:numPr>
        <w:tabs>
          <w:tab w:val="left" w:pos="1170"/>
          <w:tab w:val="left" w:pos="1350"/>
        </w:tabs>
        <w:ind w:left="0" w:hanging="54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Կոնվենցիայի 6-րդ հոդվածի </w:t>
      </w:r>
      <w:r w:rsidR="000A1174">
        <w:rPr>
          <w:rFonts w:ascii="Sylfaen" w:hAnsi="Sylfaen"/>
          <w:sz w:val="28"/>
          <w:szCs w:val="28"/>
        </w:rPr>
        <w:t xml:space="preserve">1-ին մասի </w:t>
      </w:r>
      <w:r>
        <w:rPr>
          <w:rFonts w:ascii="Sylfaen" w:hAnsi="Sylfaen"/>
          <w:sz w:val="28"/>
          <w:szCs w:val="28"/>
        </w:rPr>
        <w:t xml:space="preserve">իմաստով </w:t>
      </w:r>
      <w:r w:rsidR="000A1174">
        <w:rPr>
          <w:rFonts w:ascii="Sylfaen" w:hAnsi="Sylfaen"/>
          <w:sz w:val="28"/>
          <w:szCs w:val="28"/>
        </w:rPr>
        <w:t xml:space="preserve">դատավարության արդարացիությունը գնահատելիս, </w:t>
      </w:r>
      <w:r>
        <w:rPr>
          <w:rFonts w:ascii="Sylfaen" w:hAnsi="Sylfaen"/>
          <w:sz w:val="28"/>
          <w:szCs w:val="28"/>
        </w:rPr>
        <w:t>եվրոպական դատարան</w:t>
      </w:r>
      <w:r w:rsidR="00776A39">
        <w:rPr>
          <w:rFonts w:ascii="Sylfaen" w:hAnsi="Sylfaen"/>
          <w:sz w:val="28"/>
          <w:szCs w:val="28"/>
        </w:rPr>
        <w:t>ը քննում է</w:t>
      </w:r>
      <w:r>
        <w:rPr>
          <w:rFonts w:ascii="Sylfaen" w:hAnsi="Sylfaen"/>
          <w:sz w:val="28"/>
          <w:szCs w:val="28"/>
        </w:rPr>
        <w:t xml:space="preserve">. </w:t>
      </w:r>
    </w:p>
    <w:p w:rsidR="00610DF4" w:rsidRDefault="00610DF4" w:rsidP="00610DF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610DF4" w:rsidRDefault="00610DF4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 xml:space="preserve">ա. </w:t>
      </w:r>
      <w:r>
        <w:rPr>
          <w:rFonts w:ascii="Sylfaen" w:hAnsi="Sylfaen"/>
          <w:sz w:val="28"/>
          <w:szCs w:val="28"/>
        </w:rPr>
        <w:tab/>
      </w:r>
      <w:r w:rsidR="00776A39">
        <w:rPr>
          <w:rFonts w:ascii="Sylfaen" w:hAnsi="Sylfaen"/>
          <w:sz w:val="28"/>
          <w:szCs w:val="28"/>
        </w:rPr>
        <w:t>ապացույցների գնահատումը ազգային մարմինների կողմից</w:t>
      </w:r>
      <w:r>
        <w:rPr>
          <w:rFonts w:ascii="Sylfaen" w:hAnsi="Sylfaen"/>
          <w:sz w:val="28"/>
          <w:szCs w:val="28"/>
        </w:rPr>
        <w:t xml:space="preserve">, </w:t>
      </w:r>
    </w:p>
    <w:p w:rsidR="00776A39" w:rsidRDefault="00610DF4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>բ.</w:t>
      </w:r>
      <w:r>
        <w:rPr>
          <w:rFonts w:ascii="Sylfaen" w:hAnsi="Sylfaen"/>
          <w:sz w:val="28"/>
          <w:szCs w:val="28"/>
        </w:rPr>
        <w:tab/>
      </w:r>
      <w:r w:rsidR="00776A39">
        <w:rPr>
          <w:rFonts w:ascii="Sylfaen" w:hAnsi="Sylfaen"/>
          <w:sz w:val="28"/>
          <w:szCs w:val="28"/>
        </w:rPr>
        <w:t>ա</w:t>
      </w:r>
      <w:r>
        <w:rPr>
          <w:rFonts w:ascii="Sylfaen" w:hAnsi="Sylfaen"/>
          <w:sz w:val="28"/>
          <w:szCs w:val="28"/>
        </w:rPr>
        <w:t>պացույցների ընդունելիության հարց</w:t>
      </w:r>
      <w:r w:rsidR="00776A39">
        <w:rPr>
          <w:rFonts w:ascii="Sylfaen" w:hAnsi="Sylfaen"/>
          <w:sz w:val="28"/>
          <w:szCs w:val="28"/>
        </w:rPr>
        <w:t>ի լուծումը ազգային մարմինների կողմից</w:t>
      </w:r>
      <w:r>
        <w:rPr>
          <w:rFonts w:ascii="Sylfaen" w:hAnsi="Sylfaen"/>
          <w:sz w:val="28"/>
          <w:szCs w:val="28"/>
        </w:rPr>
        <w:t>,</w:t>
      </w:r>
    </w:p>
    <w:p w:rsidR="00610DF4" w:rsidRDefault="00610DF4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F12B81">
        <w:rPr>
          <w:rFonts w:ascii="Sylfaen" w:hAnsi="Sylfaen"/>
          <w:sz w:val="28"/>
          <w:szCs w:val="28"/>
          <w:highlight w:val="yellow"/>
        </w:rPr>
        <w:t>գ.</w:t>
      </w:r>
      <w:r w:rsidRPr="00F12B81">
        <w:rPr>
          <w:rFonts w:ascii="Sylfaen" w:hAnsi="Sylfaen"/>
          <w:sz w:val="28"/>
          <w:szCs w:val="28"/>
          <w:highlight w:val="yellow"/>
        </w:rPr>
        <w:tab/>
      </w:r>
      <w:r w:rsidR="00776A39" w:rsidRPr="00F12B81">
        <w:rPr>
          <w:rFonts w:ascii="Sylfaen" w:hAnsi="Sylfaen"/>
          <w:sz w:val="28"/>
          <w:szCs w:val="28"/>
          <w:highlight w:val="yellow"/>
        </w:rPr>
        <w:t>ապացույցների ձեռք բերելու եղանակները,</w:t>
      </w:r>
      <w:r w:rsidR="00776A39">
        <w:rPr>
          <w:rFonts w:ascii="Sylfaen" w:hAnsi="Sylfaen"/>
          <w:sz w:val="28"/>
          <w:szCs w:val="28"/>
        </w:rPr>
        <w:t xml:space="preserve"> </w:t>
      </w:r>
    </w:p>
    <w:p w:rsidR="00776A39" w:rsidRDefault="00776A39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 xml:space="preserve">դ.    մեղքի մասին հարցը, </w:t>
      </w:r>
    </w:p>
    <w:p w:rsidR="00776A39" w:rsidRDefault="00776A39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F12B81">
        <w:rPr>
          <w:rFonts w:ascii="Sylfaen" w:hAnsi="Sylfaen"/>
          <w:sz w:val="28"/>
          <w:szCs w:val="28"/>
          <w:highlight w:val="yellow"/>
        </w:rPr>
        <w:t>ե.</w:t>
      </w:r>
      <w:r w:rsidRPr="00F12B81">
        <w:rPr>
          <w:rFonts w:ascii="Sylfaen" w:hAnsi="Sylfaen"/>
          <w:sz w:val="28"/>
          <w:szCs w:val="28"/>
          <w:highlight w:val="yellow"/>
        </w:rPr>
        <w:tab/>
        <w:t>արդյոք հարգվել է պաշպան ունենալու իրավունքը,</w:t>
      </w:r>
      <w:r>
        <w:rPr>
          <w:rFonts w:ascii="Sylfaen" w:hAnsi="Sylfaen"/>
          <w:sz w:val="28"/>
          <w:szCs w:val="28"/>
        </w:rPr>
        <w:t xml:space="preserve"> </w:t>
      </w:r>
    </w:p>
    <w:p w:rsidR="00776A39" w:rsidRDefault="00776A39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F12B81">
        <w:rPr>
          <w:rFonts w:ascii="Sylfaen" w:hAnsi="Sylfaen"/>
          <w:sz w:val="28"/>
          <w:szCs w:val="28"/>
          <w:highlight w:val="yellow"/>
        </w:rPr>
        <w:t>զ.</w:t>
      </w:r>
      <w:r w:rsidRPr="00F12B81">
        <w:rPr>
          <w:rFonts w:ascii="Sylfaen" w:hAnsi="Sylfaen"/>
          <w:sz w:val="28"/>
          <w:szCs w:val="28"/>
          <w:highlight w:val="yellow"/>
        </w:rPr>
        <w:tab/>
        <w:t>արդյոք մեղադրյալին հնարավորություն տրվել է վիճարկելու ապացույցների վավերականությունը և հակադրվելու դրանց կիրառմանը,</w:t>
      </w:r>
    </w:p>
    <w:p w:rsidR="0070504B" w:rsidRDefault="00776A39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>է.</w:t>
      </w:r>
      <w:r>
        <w:rPr>
          <w:rFonts w:ascii="Sylfaen" w:hAnsi="Sylfaen"/>
          <w:sz w:val="28"/>
          <w:szCs w:val="28"/>
        </w:rPr>
        <w:tab/>
      </w:r>
      <w:r w:rsidRPr="00F12B81">
        <w:rPr>
          <w:rFonts w:ascii="Sylfaen" w:hAnsi="Sylfaen"/>
          <w:sz w:val="28"/>
          <w:szCs w:val="28"/>
          <w:highlight w:val="yellow"/>
        </w:rPr>
        <w:t>ապացույցների որակը, մասնավորապես, արդյոք այդ ապացույցների ձեռքբերման պայմանները կասկած չեն առաջացնում դրանց վստահելիության և ճշգրտության վերաբերյալ</w:t>
      </w:r>
      <w:r w:rsidR="0070504B">
        <w:rPr>
          <w:rFonts w:ascii="Sylfaen" w:hAnsi="Sylfaen"/>
          <w:sz w:val="28"/>
          <w:szCs w:val="28"/>
        </w:rPr>
        <w:t xml:space="preserve">, </w:t>
      </w:r>
    </w:p>
    <w:p w:rsidR="00776A39" w:rsidRDefault="0070504B" w:rsidP="00610DF4">
      <w:pPr>
        <w:pStyle w:val="ListParagraph"/>
        <w:tabs>
          <w:tab w:val="left" w:pos="1170"/>
          <w:tab w:val="left" w:pos="135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>թ.</w:t>
      </w:r>
      <w:r>
        <w:rPr>
          <w:rFonts w:ascii="Sylfaen" w:hAnsi="Sylfaen"/>
          <w:sz w:val="28"/>
          <w:szCs w:val="28"/>
        </w:rPr>
        <w:tab/>
        <w:t>ներպետական օրենսդրական նորմերի մեկնաբանումը և կիրառումը</w:t>
      </w:r>
      <w:r w:rsidR="000A1174">
        <w:rPr>
          <w:rFonts w:ascii="Sylfaen" w:hAnsi="Sylfaen"/>
          <w:sz w:val="28"/>
          <w:szCs w:val="28"/>
        </w:rPr>
        <w:t>,</w:t>
      </w:r>
      <w:r w:rsidR="00776A39">
        <w:rPr>
          <w:rFonts w:ascii="Sylfaen" w:hAnsi="Sylfaen"/>
          <w:sz w:val="28"/>
          <w:szCs w:val="28"/>
        </w:rPr>
        <w:t xml:space="preserve"> </w:t>
      </w:r>
    </w:p>
    <w:p w:rsidR="00610DF4" w:rsidRDefault="00610DF4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F638F5" w:rsidRDefault="00F638F5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8008C4" w:rsidRDefault="008008C4" w:rsidP="00B541BE">
      <w:pPr>
        <w:pStyle w:val="ListParagraph"/>
        <w:numPr>
          <w:ilvl w:val="0"/>
          <w:numId w:val="3"/>
        </w:numPr>
        <w:tabs>
          <w:tab w:val="left" w:pos="1170"/>
          <w:tab w:val="left" w:pos="1350"/>
        </w:tabs>
        <w:ind w:left="0" w:hanging="54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lastRenderedPageBreak/>
        <w:t>Ընտրեք ճիշտ պատասխանները.</w:t>
      </w:r>
    </w:p>
    <w:p w:rsidR="008008C4" w:rsidRDefault="008008C4" w:rsidP="008008C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B541BE" w:rsidRPr="008008C4" w:rsidRDefault="000A1174" w:rsidP="008008C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  <w:r w:rsidRPr="008008C4">
        <w:rPr>
          <w:rFonts w:ascii="Sylfaen" w:hAnsi="Sylfaen"/>
          <w:sz w:val="28"/>
          <w:szCs w:val="28"/>
        </w:rPr>
        <w:t>Ըստ Կոնվենցիայի 6-րդ հոդվածի 3-րդ մասի դ-կետի, մ</w:t>
      </w:r>
      <w:r w:rsidR="00B541BE" w:rsidRPr="008008C4">
        <w:rPr>
          <w:rFonts w:ascii="Sylfaen" w:hAnsi="Sylfaen"/>
          <w:sz w:val="28"/>
          <w:szCs w:val="28"/>
        </w:rPr>
        <w:t xml:space="preserve">եղադրյալի՝ իր դեմ ցուցմունք տվող վկաներին </w:t>
      </w:r>
      <w:r w:rsidR="008008C4">
        <w:rPr>
          <w:rFonts w:ascii="Sylfaen" w:hAnsi="Sylfaen"/>
          <w:sz w:val="28"/>
          <w:szCs w:val="28"/>
        </w:rPr>
        <w:t xml:space="preserve">անձամբ </w:t>
      </w:r>
      <w:r w:rsidR="00B541BE" w:rsidRPr="008008C4">
        <w:rPr>
          <w:rFonts w:ascii="Sylfaen" w:hAnsi="Sylfaen"/>
          <w:sz w:val="28"/>
          <w:szCs w:val="28"/>
        </w:rPr>
        <w:t>հարցաքննելու իրավունքը</w:t>
      </w:r>
      <w:r w:rsidRPr="008008C4">
        <w:rPr>
          <w:rFonts w:ascii="Sylfaen" w:hAnsi="Sylfaen"/>
          <w:sz w:val="28"/>
          <w:szCs w:val="28"/>
        </w:rPr>
        <w:t xml:space="preserve">. </w:t>
      </w:r>
    </w:p>
    <w:p w:rsidR="000A1174" w:rsidRDefault="000A1174" w:rsidP="000A1174">
      <w:pPr>
        <w:pStyle w:val="ListParagraph"/>
        <w:tabs>
          <w:tab w:val="left" w:pos="1170"/>
          <w:tab w:val="left" w:pos="1350"/>
        </w:tabs>
        <w:ind w:left="0"/>
        <w:jc w:val="both"/>
        <w:rPr>
          <w:rFonts w:ascii="Sylfaen" w:hAnsi="Sylfaen"/>
          <w:sz w:val="28"/>
          <w:szCs w:val="28"/>
        </w:rPr>
      </w:pP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>ա.</w:t>
      </w:r>
      <w:r>
        <w:rPr>
          <w:rFonts w:ascii="Sylfaen" w:hAnsi="Sylfaen"/>
          <w:sz w:val="28"/>
          <w:szCs w:val="28"/>
        </w:rPr>
        <w:tab/>
        <w:t xml:space="preserve">պետք է ապահովվի՝ անկախ այն հանգամանքից, թե մեղադրյալը դա պահանջում է, թե ոչ: Դա բխում է պետության պոզիտիվ պարտավորությունից, </w:t>
      </w: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D22B6D">
        <w:rPr>
          <w:rFonts w:ascii="Sylfaen" w:hAnsi="Sylfaen"/>
          <w:sz w:val="28"/>
          <w:szCs w:val="28"/>
          <w:highlight w:val="yellow"/>
        </w:rPr>
        <w:t>բ.</w:t>
      </w:r>
      <w:r w:rsidRPr="00D22B6D">
        <w:rPr>
          <w:rFonts w:ascii="Sylfaen" w:hAnsi="Sylfaen"/>
          <w:sz w:val="28"/>
          <w:szCs w:val="28"/>
          <w:highlight w:val="yellow"/>
        </w:rPr>
        <w:tab/>
        <w:t>կարող է իրականացվել, եթե մեղադրյալը հայտնել է նման ցանկություն, այդուհանդերձ, վարույթն իրականացնող մարմինը կամ դատարանն այդ հարցում ունի հայեցողություն</w:t>
      </w:r>
      <w:r>
        <w:rPr>
          <w:rFonts w:ascii="Sylfaen" w:hAnsi="Sylfaen"/>
          <w:sz w:val="28"/>
          <w:szCs w:val="28"/>
        </w:rPr>
        <w:t>,</w:t>
      </w: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</w:r>
      <w:r w:rsidRPr="00D22B6D">
        <w:rPr>
          <w:rFonts w:ascii="Sylfaen" w:hAnsi="Sylfaen"/>
          <w:sz w:val="28"/>
          <w:szCs w:val="28"/>
          <w:highlight w:val="yellow"/>
        </w:rPr>
        <w:t>գ.</w:t>
      </w:r>
      <w:r w:rsidRPr="00D22B6D">
        <w:rPr>
          <w:rFonts w:ascii="Sylfaen" w:hAnsi="Sylfaen"/>
          <w:sz w:val="28"/>
          <w:szCs w:val="28"/>
          <w:highlight w:val="yellow"/>
        </w:rPr>
        <w:tab/>
      </w:r>
      <w:r w:rsidR="00286001" w:rsidRPr="00D22B6D">
        <w:rPr>
          <w:rFonts w:ascii="Sylfaen" w:hAnsi="Sylfaen"/>
          <w:sz w:val="28"/>
          <w:szCs w:val="28"/>
          <w:highlight w:val="yellow"/>
        </w:rPr>
        <w:t xml:space="preserve">պետք է </w:t>
      </w:r>
      <w:r w:rsidRPr="00D22B6D">
        <w:rPr>
          <w:rFonts w:ascii="Sylfaen" w:hAnsi="Sylfaen"/>
          <w:sz w:val="28"/>
          <w:szCs w:val="28"/>
          <w:highlight w:val="yellow"/>
        </w:rPr>
        <w:t>իրականա</w:t>
      </w:r>
      <w:r w:rsidR="00286001" w:rsidRPr="00D22B6D">
        <w:rPr>
          <w:rFonts w:ascii="Sylfaen" w:hAnsi="Sylfaen"/>
          <w:sz w:val="28"/>
          <w:szCs w:val="28"/>
          <w:highlight w:val="yellow"/>
        </w:rPr>
        <w:t xml:space="preserve">ցնել, </w:t>
      </w:r>
      <w:r w:rsidRPr="00D22B6D">
        <w:rPr>
          <w:rFonts w:ascii="Sylfaen" w:hAnsi="Sylfaen"/>
          <w:sz w:val="28"/>
          <w:szCs w:val="28"/>
          <w:highlight w:val="yellow"/>
        </w:rPr>
        <w:t>եթե վարույթն իրականացնող մարմինը անհրաժեշտ է համարում՝ ելնելով արդարադատության շահերից,</w:t>
      </w:r>
      <w:r>
        <w:rPr>
          <w:rFonts w:ascii="Sylfaen" w:hAnsi="Sylfaen"/>
          <w:sz w:val="28"/>
          <w:szCs w:val="28"/>
        </w:rPr>
        <w:t xml:space="preserve"> </w:t>
      </w:r>
    </w:p>
    <w:p w:rsidR="002D6E2F" w:rsidRDefault="002D6E2F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ab/>
        <w:t>դ.</w:t>
      </w:r>
      <w:r>
        <w:rPr>
          <w:rFonts w:ascii="Sylfaen" w:hAnsi="Sylfaen"/>
          <w:sz w:val="28"/>
          <w:szCs w:val="28"/>
        </w:rPr>
        <w:tab/>
      </w:r>
      <w:r w:rsidR="008008C4">
        <w:rPr>
          <w:rFonts w:ascii="Sylfaen" w:hAnsi="Sylfaen"/>
          <w:sz w:val="28"/>
          <w:szCs w:val="28"/>
        </w:rPr>
        <w:t xml:space="preserve">արգելվում է իրականացնել, եթե վկան օգտվում է վկայի պաշտպանության միջոցներից, </w:t>
      </w:r>
      <w:r>
        <w:rPr>
          <w:rFonts w:ascii="Sylfaen" w:hAnsi="Sylfaen"/>
          <w:sz w:val="28"/>
          <w:szCs w:val="28"/>
        </w:rPr>
        <w:tab/>
      </w: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</w:p>
    <w:p w:rsidR="000A1174" w:rsidRDefault="000A1174" w:rsidP="000A1174">
      <w:pPr>
        <w:pStyle w:val="ListParagraph"/>
        <w:tabs>
          <w:tab w:val="left" w:pos="1170"/>
          <w:tab w:val="left" w:pos="1350"/>
          <w:tab w:val="left" w:pos="1710"/>
        </w:tabs>
        <w:ind w:left="1710" w:hanging="1710"/>
        <w:jc w:val="both"/>
        <w:rPr>
          <w:rFonts w:ascii="Sylfaen" w:hAnsi="Sylfaen"/>
          <w:sz w:val="28"/>
          <w:szCs w:val="28"/>
        </w:rPr>
      </w:pPr>
    </w:p>
    <w:p w:rsidR="000A0E55" w:rsidRDefault="000A0E55">
      <w:pPr>
        <w:rPr>
          <w:rFonts w:ascii="Sylfaen" w:hAnsi="Sylfaen"/>
          <w:sz w:val="24"/>
          <w:szCs w:val="24"/>
        </w:rPr>
      </w:pPr>
    </w:p>
    <w:p w:rsidR="000A0E55" w:rsidRPr="00085583" w:rsidRDefault="000A0E55">
      <w:pPr>
        <w:rPr>
          <w:rFonts w:ascii="Sylfaen" w:hAnsi="Sylfaen"/>
          <w:sz w:val="24"/>
          <w:szCs w:val="24"/>
        </w:rPr>
      </w:pPr>
    </w:p>
    <w:sectPr w:rsidR="000A0E55" w:rsidRPr="00085583" w:rsidSect="00F34F29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196" w:rsidRDefault="00163196" w:rsidP="00952271">
      <w:pPr>
        <w:spacing w:after="0" w:line="240" w:lineRule="auto"/>
      </w:pPr>
      <w:r>
        <w:separator/>
      </w:r>
    </w:p>
  </w:endnote>
  <w:endnote w:type="continuationSeparator" w:id="0">
    <w:p w:rsidR="00163196" w:rsidRDefault="00163196" w:rsidP="00952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607" w:usb1="00000000" w:usb2="00000000" w:usb3="00000000" w:csb0="00000087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196" w:rsidRDefault="00163196" w:rsidP="00952271">
      <w:pPr>
        <w:spacing w:after="0" w:line="240" w:lineRule="auto"/>
      </w:pPr>
      <w:r>
        <w:separator/>
      </w:r>
    </w:p>
  </w:footnote>
  <w:footnote w:type="continuationSeparator" w:id="0">
    <w:p w:rsidR="00163196" w:rsidRDefault="00163196" w:rsidP="00952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F2F01"/>
    <w:multiLevelType w:val="hybridMultilevel"/>
    <w:tmpl w:val="C9E28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B61CF"/>
    <w:multiLevelType w:val="hybridMultilevel"/>
    <w:tmpl w:val="B6E039FC"/>
    <w:lvl w:ilvl="0" w:tplc="24A4ED00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" w15:restartNumberingAfterBreak="0">
    <w:nsid w:val="738E4FE9"/>
    <w:multiLevelType w:val="hybridMultilevel"/>
    <w:tmpl w:val="07803800"/>
    <w:lvl w:ilvl="0" w:tplc="E1AC49AE">
      <w:start w:val="3"/>
      <w:numFmt w:val="decimal"/>
      <w:lvlText w:val="%1."/>
      <w:lvlJc w:val="left"/>
      <w:pPr>
        <w:ind w:left="27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583"/>
    <w:rsid w:val="00044387"/>
    <w:rsid w:val="00085583"/>
    <w:rsid w:val="000A0E55"/>
    <w:rsid w:val="000A1174"/>
    <w:rsid w:val="000C5ECF"/>
    <w:rsid w:val="000E0225"/>
    <w:rsid w:val="00125A1A"/>
    <w:rsid w:val="001429B7"/>
    <w:rsid w:val="00163196"/>
    <w:rsid w:val="00181455"/>
    <w:rsid w:val="001F6C5C"/>
    <w:rsid w:val="00286001"/>
    <w:rsid w:val="00295429"/>
    <w:rsid w:val="002D6E2F"/>
    <w:rsid w:val="00310130"/>
    <w:rsid w:val="003865A8"/>
    <w:rsid w:val="00423B63"/>
    <w:rsid w:val="00542F23"/>
    <w:rsid w:val="00563C70"/>
    <w:rsid w:val="00610DF4"/>
    <w:rsid w:val="0061118F"/>
    <w:rsid w:val="006B0A35"/>
    <w:rsid w:val="0070504B"/>
    <w:rsid w:val="00776A39"/>
    <w:rsid w:val="007E13A3"/>
    <w:rsid w:val="008008C4"/>
    <w:rsid w:val="00804CDA"/>
    <w:rsid w:val="00813189"/>
    <w:rsid w:val="008841F1"/>
    <w:rsid w:val="00905C1D"/>
    <w:rsid w:val="009509CA"/>
    <w:rsid w:val="00952271"/>
    <w:rsid w:val="009A19E7"/>
    <w:rsid w:val="009B0B77"/>
    <w:rsid w:val="00A107A0"/>
    <w:rsid w:val="00A6270A"/>
    <w:rsid w:val="00AE730E"/>
    <w:rsid w:val="00B13086"/>
    <w:rsid w:val="00B541BE"/>
    <w:rsid w:val="00C045C4"/>
    <w:rsid w:val="00CE0398"/>
    <w:rsid w:val="00D22B6D"/>
    <w:rsid w:val="00DA1397"/>
    <w:rsid w:val="00DB3DF1"/>
    <w:rsid w:val="00E45F37"/>
    <w:rsid w:val="00EE79AD"/>
    <w:rsid w:val="00F12B81"/>
    <w:rsid w:val="00F34F29"/>
    <w:rsid w:val="00F6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06B93"/>
  <w15:docId w15:val="{C96779B3-8382-4688-B1CD-DB86E03AD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4F29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9522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semiHidden/>
    <w:rsid w:val="0095227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FootnoteReference">
    <w:name w:val="footnote reference"/>
    <w:semiHidden/>
    <w:rsid w:val="00952271"/>
    <w:rPr>
      <w:vertAlign w:val="superscript"/>
    </w:rPr>
  </w:style>
  <w:style w:type="paragraph" w:customStyle="1" w:styleId="Default">
    <w:name w:val="Default"/>
    <w:rsid w:val="00776A39"/>
    <w:pPr>
      <w:autoSpaceDE w:val="0"/>
      <w:autoSpaceDN w:val="0"/>
      <w:adjustRightInd w:val="0"/>
      <w:spacing w:after="0" w:line="240" w:lineRule="auto"/>
    </w:pPr>
    <w:rPr>
      <w:rFonts w:ascii="Times Armenian" w:hAnsi="Times Armenian" w:cs="Times Armen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A5F77-0232-49C0-B913-12F13E752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1903</TotalTime>
  <Pages>10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Ara Ghazaryan</cp:lastModifiedBy>
  <cp:revision>22</cp:revision>
  <dcterms:created xsi:type="dcterms:W3CDTF">2011-11-11T10:29:00Z</dcterms:created>
  <dcterms:modified xsi:type="dcterms:W3CDTF">2020-04-21T10:00:00Z</dcterms:modified>
</cp:coreProperties>
</file>