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5339" w:rsidRPr="008E5339" w:rsidRDefault="008E5339" w:rsidP="008E5339">
      <w:pPr>
        <w:shd w:val="clear" w:color="auto" w:fill="FFFFFF"/>
        <w:spacing w:before="100" w:beforeAutospacing="1" w:after="100" w:afterAutospacing="1" w:line="240" w:lineRule="auto"/>
        <w:jc w:val="center"/>
        <w:rPr>
          <w:rFonts w:ascii="Arial Unicode" w:eastAsia="Times New Roman" w:hAnsi="Arial Unicode" w:cs="Times New Roman"/>
          <w:color w:val="000000"/>
          <w:sz w:val="24"/>
          <w:szCs w:val="24"/>
          <w:lang w:eastAsia="ru-RU"/>
        </w:rPr>
      </w:pPr>
      <w:r w:rsidRPr="008E5339">
        <w:rPr>
          <w:rFonts w:ascii="GHEA Grapalat" w:eastAsia="Times New Roman" w:hAnsi="GHEA Grapalat" w:cs="Times New Roman"/>
          <w:b/>
          <w:bCs/>
          <w:noProof/>
          <w:color w:val="000000"/>
          <w:sz w:val="24"/>
          <w:szCs w:val="24"/>
          <w:lang w:eastAsia="ru-RU"/>
        </w:rPr>
        <w:drawing>
          <wp:inline distT="0" distB="0" distL="0" distR="0" wp14:anchorId="0495B613" wp14:editId="0A3CD138">
            <wp:extent cx="3407410" cy="1388745"/>
            <wp:effectExtent l="0" t="0" r="2540" b="1905"/>
            <wp:docPr id="1" name="Picture 1" descr="Ներմուծեք նկարագրությունը_15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Ներմուծեք նկարագրությունը_1538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07410" cy="1388745"/>
                    </a:xfrm>
                    <a:prstGeom prst="rect">
                      <a:avLst/>
                    </a:prstGeom>
                    <a:noFill/>
                    <a:ln>
                      <a:noFill/>
                    </a:ln>
                  </pic:spPr>
                </pic:pic>
              </a:graphicData>
            </a:graphic>
          </wp:inline>
        </w:drawing>
      </w:r>
    </w:p>
    <w:p w:rsidR="008E5339" w:rsidRPr="008E5339" w:rsidRDefault="008E5339" w:rsidP="008E5339">
      <w:pPr>
        <w:shd w:val="clear" w:color="auto" w:fill="FFFFFF"/>
        <w:spacing w:before="100" w:beforeAutospacing="1" w:line="240" w:lineRule="auto"/>
        <w:jc w:val="center"/>
        <w:rPr>
          <w:rFonts w:ascii="Arial Unicode" w:eastAsia="Times New Roman" w:hAnsi="Arial Unicode" w:cs="Times New Roman"/>
          <w:color w:val="000000"/>
          <w:sz w:val="24"/>
          <w:szCs w:val="24"/>
          <w:lang w:eastAsia="ru-RU"/>
        </w:rPr>
      </w:pPr>
      <w:r w:rsidRPr="008E5339">
        <w:rPr>
          <w:rFonts w:ascii="Arial Unicode" w:eastAsia="Times New Roman" w:hAnsi="Arial Unicode" w:cs="Times New Roman"/>
          <w:color w:val="000000"/>
          <w:sz w:val="24"/>
          <w:szCs w:val="24"/>
          <w:lang w:eastAsia="ru-RU"/>
        </w:rPr>
        <w:t>ԱՌԱՋԻՆ ԲԱԺԱՆՄՈՒՆՔ</w:t>
      </w:r>
    </w:p>
    <w:p w:rsidR="008E5339" w:rsidRPr="008E5339" w:rsidRDefault="008E5339" w:rsidP="008E5339">
      <w:pPr>
        <w:shd w:val="clear" w:color="auto" w:fill="FFFFFF"/>
        <w:spacing w:before="100" w:beforeAutospacing="1" w:line="240" w:lineRule="auto"/>
        <w:jc w:val="center"/>
        <w:rPr>
          <w:rFonts w:ascii="Arial Unicode" w:eastAsia="Times New Roman" w:hAnsi="Arial Unicode" w:cs="Times New Roman"/>
          <w:color w:val="000000"/>
          <w:sz w:val="24"/>
          <w:szCs w:val="24"/>
          <w:lang w:eastAsia="ru-RU"/>
        </w:rPr>
      </w:pPr>
      <w:r w:rsidRPr="008E5339">
        <w:rPr>
          <w:rFonts w:ascii="GHEA Grapalat" w:eastAsia="Times New Roman" w:hAnsi="GHEA Grapalat" w:cs="Times New Roman"/>
          <w:b/>
          <w:bCs/>
          <w:color w:val="000000"/>
          <w:sz w:val="24"/>
          <w:szCs w:val="24"/>
          <w:lang w:val="hy-AM" w:eastAsia="ru-RU"/>
        </w:rPr>
        <w:t>ԱՎԱԳՅԱՆՆ ԸՆԴԴԵՄ ՀԱՅԱՍՏԱՆԻ</w:t>
      </w:r>
    </w:p>
    <w:p w:rsidR="008E5339" w:rsidRPr="008E5339" w:rsidRDefault="008E5339" w:rsidP="008E5339">
      <w:pPr>
        <w:shd w:val="clear" w:color="auto" w:fill="FFFFFF"/>
        <w:spacing w:before="100" w:beforeAutospacing="1" w:line="240" w:lineRule="auto"/>
        <w:jc w:val="center"/>
        <w:rPr>
          <w:rFonts w:ascii="Arial Unicode" w:eastAsia="Times New Roman" w:hAnsi="Arial Unicode" w:cs="Times New Roman"/>
          <w:color w:val="000000"/>
          <w:sz w:val="24"/>
          <w:szCs w:val="24"/>
          <w:lang w:eastAsia="ru-RU"/>
        </w:rPr>
      </w:pPr>
      <w:r w:rsidRPr="008E5339">
        <w:rPr>
          <w:rFonts w:ascii="GHEA Grapalat" w:eastAsia="Times New Roman" w:hAnsi="GHEA Grapalat" w:cs="Times New Roman"/>
          <w:b/>
          <w:bCs/>
          <w:i/>
          <w:iCs/>
          <w:color w:val="000000"/>
          <w:sz w:val="24"/>
          <w:szCs w:val="24"/>
          <w:lang w:val="hy-AM" w:eastAsia="ru-RU"/>
        </w:rPr>
        <w:t>(Գանգատ թիվ 1837/10)</w:t>
      </w:r>
    </w:p>
    <w:p w:rsidR="008E5339" w:rsidRPr="008E5339" w:rsidRDefault="008E5339" w:rsidP="008E5339">
      <w:pPr>
        <w:shd w:val="clear" w:color="auto" w:fill="FFFFFF"/>
        <w:spacing w:before="100" w:beforeAutospacing="1" w:line="240" w:lineRule="auto"/>
        <w:jc w:val="center"/>
        <w:rPr>
          <w:rFonts w:ascii="Arial Unicode" w:eastAsia="Times New Roman" w:hAnsi="Arial Unicode" w:cs="Times New Roman"/>
          <w:color w:val="000000"/>
          <w:sz w:val="24"/>
          <w:szCs w:val="24"/>
          <w:lang w:eastAsia="ru-RU"/>
        </w:rPr>
      </w:pPr>
      <w:r w:rsidRPr="008E5339">
        <w:rPr>
          <w:rFonts w:ascii="GHEA Grapalat" w:eastAsia="Times New Roman" w:hAnsi="GHEA Grapalat" w:cs="Times New Roman"/>
          <w:b/>
          <w:bCs/>
          <w:color w:val="000000"/>
          <w:sz w:val="24"/>
          <w:szCs w:val="24"/>
          <w:lang w:val="hy-AM" w:eastAsia="ru-RU"/>
        </w:rPr>
        <w:t>ՎՃԻՌ</w:t>
      </w:r>
    </w:p>
    <w:p w:rsidR="008E5339" w:rsidRPr="008E5339" w:rsidRDefault="008E5339" w:rsidP="008E5339">
      <w:pPr>
        <w:shd w:val="clear" w:color="auto" w:fill="FFFFFF"/>
        <w:spacing w:before="100" w:beforeAutospacing="1" w:line="240" w:lineRule="auto"/>
        <w:jc w:val="center"/>
        <w:rPr>
          <w:rFonts w:ascii="Arial Unicode" w:eastAsia="Times New Roman" w:hAnsi="Arial Unicode" w:cs="Times New Roman"/>
          <w:color w:val="000000"/>
          <w:sz w:val="24"/>
          <w:szCs w:val="24"/>
          <w:lang w:eastAsia="ru-RU"/>
        </w:rPr>
      </w:pPr>
      <w:r w:rsidRPr="008E5339">
        <w:rPr>
          <w:rFonts w:ascii="GHEA Grapalat" w:eastAsia="Times New Roman" w:hAnsi="GHEA Grapalat" w:cs="Times New Roman"/>
          <w:b/>
          <w:bCs/>
          <w:color w:val="000000"/>
          <w:sz w:val="24"/>
          <w:szCs w:val="24"/>
          <w:lang w:val="hy-AM" w:eastAsia="ru-RU"/>
        </w:rPr>
        <w:t>ՍՏՐԱՍԲՈՒՐԳ</w:t>
      </w:r>
    </w:p>
    <w:p w:rsidR="008E5339" w:rsidRPr="008E5339" w:rsidRDefault="008E5339" w:rsidP="008E5339">
      <w:pPr>
        <w:shd w:val="clear" w:color="auto" w:fill="FFFFFF"/>
        <w:spacing w:before="100" w:beforeAutospacing="1" w:line="240" w:lineRule="auto"/>
        <w:jc w:val="center"/>
        <w:rPr>
          <w:rFonts w:ascii="Arial Unicode" w:eastAsia="Times New Roman" w:hAnsi="Arial Unicode" w:cs="Times New Roman"/>
          <w:color w:val="000000"/>
          <w:sz w:val="24"/>
          <w:szCs w:val="24"/>
          <w:lang w:eastAsia="ru-RU"/>
        </w:rPr>
      </w:pPr>
      <w:r w:rsidRPr="008E5339">
        <w:rPr>
          <w:rFonts w:ascii="GHEA Grapalat" w:eastAsia="Times New Roman" w:hAnsi="GHEA Grapalat" w:cs="Times New Roman"/>
          <w:b/>
          <w:bCs/>
          <w:color w:val="000000"/>
          <w:sz w:val="24"/>
          <w:szCs w:val="24"/>
          <w:lang w:val="hy-AM" w:eastAsia="ru-RU"/>
        </w:rPr>
        <w:t>22 նոյեմբերի 2018թ.</w:t>
      </w:r>
    </w:p>
    <w:p w:rsidR="008E5339" w:rsidRPr="008E5339" w:rsidRDefault="008E5339" w:rsidP="008E5339">
      <w:pPr>
        <w:shd w:val="clear" w:color="auto" w:fill="FFFFFF"/>
        <w:spacing w:before="100" w:beforeAutospacing="1" w:after="0" w:line="240" w:lineRule="auto"/>
        <w:ind w:firstLine="567"/>
        <w:jc w:val="center"/>
        <w:rPr>
          <w:rFonts w:ascii="Arial Unicode" w:eastAsia="Times New Roman" w:hAnsi="Arial Unicode" w:cs="Times New Roman"/>
          <w:color w:val="000000"/>
          <w:sz w:val="24"/>
          <w:szCs w:val="24"/>
          <w:lang w:val="hy-AM" w:eastAsia="ru-RU"/>
        </w:rPr>
      </w:pPr>
      <w:r w:rsidRPr="008E5339">
        <w:rPr>
          <w:rFonts w:ascii="GHEA Grapalat" w:eastAsia="Times New Roman" w:hAnsi="GHEA Grapalat" w:cs="Times New Roman"/>
          <w:i/>
          <w:iCs/>
          <w:color w:val="000000"/>
          <w:sz w:val="24"/>
          <w:szCs w:val="24"/>
          <w:lang w:val="hy-AM" w:eastAsia="ru-RU"/>
        </w:rPr>
        <w:t>Սույն վճիռը վերջնական է դառնում Կոնվենցիայի 44-րդ հոդվածի 2-րդ կետով սահմանված դեպքերում։ Այն կարող է ենթարկվել խմբագրական փոփոխությունների։</w:t>
      </w:r>
    </w:p>
    <w:p w:rsidR="008E5339" w:rsidRPr="008E5339" w:rsidRDefault="008E5339" w:rsidP="008E5339">
      <w:pPr>
        <w:spacing w:after="0" w:line="240" w:lineRule="auto"/>
        <w:ind w:firstLine="375"/>
        <w:rPr>
          <w:rFonts w:ascii="Arial Unicode" w:eastAsia="Times New Roman" w:hAnsi="Arial Unicode" w:cs="Times New Roman"/>
          <w:b/>
          <w:bCs/>
          <w:i/>
          <w:iCs/>
          <w:color w:val="000000"/>
          <w:sz w:val="24"/>
          <w:szCs w:val="24"/>
          <w:shd w:val="clear" w:color="auto" w:fill="FFFFFF"/>
          <w:lang w:val="hy-AM" w:eastAsia="ru-RU"/>
        </w:rPr>
      </w:pPr>
      <w:r w:rsidRPr="008E5339">
        <w:rPr>
          <w:rFonts w:ascii="Arial Unicode" w:eastAsia="Times New Roman" w:hAnsi="Arial Unicode" w:cs="Times New Roman"/>
          <w:b/>
          <w:bCs/>
          <w:i/>
          <w:iCs/>
          <w:color w:val="000000"/>
          <w:sz w:val="24"/>
          <w:szCs w:val="24"/>
          <w:shd w:val="clear" w:color="auto" w:fill="FFFFFF"/>
          <w:lang w:val="hy-AM" w:eastAsia="ru-RU"/>
        </w:rPr>
        <w:t>Ավագյանն ընդդեմ Հայաստանի գործով,</w:t>
      </w:r>
    </w:p>
    <w:p w:rsidR="008E5339" w:rsidRPr="008E5339" w:rsidRDefault="008E5339" w:rsidP="008E5339">
      <w:pPr>
        <w:shd w:val="clear" w:color="auto" w:fill="FFFFFF"/>
        <w:spacing w:after="0" w:line="240" w:lineRule="auto"/>
        <w:ind w:firstLine="375"/>
        <w:rPr>
          <w:rFonts w:ascii="Arial Unicode" w:eastAsia="Times New Roman" w:hAnsi="Arial Unicode" w:cs="Times New Roman"/>
          <w:color w:val="000000"/>
          <w:sz w:val="24"/>
          <w:szCs w:val="24"/>
          <w:lang w:val="hy-AM" w:eastAsia="ru-RU"/>
        </w:rPr>
      </w:pPr>
      <w:r w:rsidRPr="008E5339">
        <w:rPr>
          <w:rFonts w:ascii="GHEA Grapalat" w:eastAsia="Times New Roman" w:hAnsi="GHEA Grapalat" w:cs="Times New Roman"/>
          <w:color w:val="000000"/>
          <w:sz w:val="24"/>
          <w:szCs w:val="24"/>
          <w:lang w:val="hy-AM" w:eastAsia="ru-RU"/>
        </w:rPr>
        <w:t>Մարդու իրավունքների եվրոպական դատարանը (Առաջին բաժանմունք), հանդես գալով Պալատի հետևյալ կազմով՝</w:t>
      </w:r>
    </w:p>
    <w:p w:rsidR="008E5339" w:rsidRPr="008E5339" w:rsidRDefault="008E5339" w:rsidP="008E5339">
      <w:pPr>
        <w:shd w:val="clear" w:color="auto" w:fill="FFFFFF"/>
        <w:spacing w:after="0" w:line="240" w:lineRule="auto"/>
        <w:ind w:firstLine="375"/>
        <w:rPr>
          <w:rFonts w:ascii="Arial Unicode" w:eastAsia="Times New Roman" w:hAnsi="Arial Unicode" w:cs="Times New Roman"/>
          <w:color w:val="000000"/>
          <w:sz w:val="24"/>
          <w:szCs w:val="24"/>
          <w:lang w:val="hy-AM" w:eastAsia="ru-RU"/>
        </w:rPr>
      </w:pPr>
      <w:r w:rsidRPr="008E5339">
        <w:rPr>
          <w:rFonts w:ascii="GHEA Grapalat" w:eastAsia="Times New Roman" w:hAnsi="GHEA Grapalat" w:cs="Times New Roman"/>
          <w:color w:val="000000"/>
          <w:sz w:val="24"/>
          <w:szCs w:val="24"/>
          <w:lang w:val="hy-AM" w:eastAsia="ru-RU"/>
        </w:rPr>
        <w:t>Լինոս-Ալեքսանդր Սիցիլիանոս [Linos-Alexandre Sicilianos]`</w:t>
      </w:r>
      <w:r w:rsidRPr="008E5339">
        <w:rPr>
          <w:rFonts w:ascii="Calibri" w:eastAsia="Times New Roman" w:hAnsi="Calibri" w:cs="Calibri"/>
          <w:color w:val="000000"/>
          <w:sz w:val="24"/>
          <w:szCs w:val="24"/>
          <w:lang w:val="hy-AM" w:eastAsia="ru-RU"/>
        </w:rPr>
        <w:t> </w:t>
      </w:r>
      <w:r w:rsidRPr="008E5339">
        <w:rPr>
          <w:rFonts w:ascii="GHEA Grapalat" w:eastAsia="Times New Roman" w:hAnsi="GHEA Grapalat" w:cs="Times New Roman"/>
          <w:i/>
          <w:iCs/>
          <w:color w:val="000000"/>
          <w:sz w:val="24"/>
          <w:szCs w:val="24"/>
          <w:lang w:val="hy-AM" w:eastAsia="ru-RU"/>
        </w:rPr>
        <w:t>Նախագահ,</w:t>
      </w:r>
    </w:p>
    <w:p w:rsidR="008E5339" w:rsidRPr="008E5339" w:rsidRDefault="008E5339" w:rsidP="008E5339">
      <w:pPr>
        <w:shd w:val="clear" w:color="auto" w:fill="FFFFFF"/>
        <w:spacing w:after="0" w:line="240" w:lineRule="auto"/>
        <w:ind w:firstLine="375"/>
        <w:rPr>
          <w:rFonts w:ascii="Arial Unicode" w:eastAsia="Times New Roman" w:hAnsi="Arial Unicode" w:cs="Times New Roman"/>
          <w:color w:val="000000"/>
          <w:sz w:val="24"/>
          <w:szCs w:val="24"/>
          <w:lang w:val="hy-AM" w:eastAsia="ru-RU"/>
        </w:rPr>
      </w:pPr>
      <w:r w:rsidRPr="008E5339">
        <w:rPr>
          <w:rFonts w:ascii="GHEA Grapalat" w:eastAsia="Times New Roman" w:hAnsi="GHEA Grapalat" w:cs="Times New Roman"/>
          <w:color w:val="000000"/>
          <w:sz w:val="24"/>
          <w:szCs w:val="24"/>
          <w:lang w:val="hy-AM" w:eastAsia="ru-RU"/>
        </w:rPr>
        <w:t>Քսենյա Տուրկովիչ [Ksenija Turković],</w:t>
      </w:r>
    </w:p>
    <w:p w:rsidR="008E5339" w:rsidRPr="008E5339" w:rsidRDefault="008E5339" w:rsidP="008E5339">
      <w:pPr>
        <w:shd w:val="clear" w:color="auto" w:fill="FFFFFF"/>
        <w:spacing w:after="0" w:line="240" w:lineRule="auto"/>
        <w:ind w:firstLine="375"/>
        <w:rPr>
          <w:rFonts w:ascii="Arial Unicode" w:eastAsia="Times New Roman" w:hAnsi="Arial Unicode" w:cs="Times New Roman"/>
          <w:color w:val="000000"/>
          <w:sz w:val="24"/>
          <w:szCs w:val="24"/>
          <w:lang w:val="hy-AM" w:eastAsia="ru-RU"/>
        </w:rPr>
      </w:pPr>
      <w:r w:rsidRPr="008E5339">
        <w:rPr>
          <w:rFonts w:ascii="GHEA Grapalat" w:eastAsia="Times New Roman" w:hAnsi="GHEA Grapalat" w:cs="Times New Roman"/>
          <w:color w:val="000000"/>
          <w:sz w:val="24"/>
          <w:szCs w:val="24"/>
          <w:lang w:val="hy-AM" w:eastAsia="ru-RU"/>
        </w:rPr>
        <w:t>Ալեշ Պեյխալ [Aleš Pejchal],</w:t>
      </w:r>
    </w:p>
    <w:p w:rsidR="008E5339" w:rsidRPr="008E5339" w:rsidRDefault="008E5339" w:rsidP="008E5339">
      <w:pPr>
        <w:shd w:val="clear" w:color="auto" w:fill="FFFFFF"/>
        <w:spacing w:after="0" w:line="240" w:lineRule="auto"/>
        <w:ind w:firstLine="375"/>
        <w:rPr>
          <w:rFonts w:ascii="Arial Unicode" w:eastAsia="Times New Roman" w:hAnsi="Arial Unicode" w:cs="Times New Roman"/>
          <w:color w:val="000000"/>
          <w:sz w:val="24"/>
          <w:szCs w:val="24"/>
          <w:lang w:val="hy-AM" w:eastAsia="ru-RU"/>
        </w:rPr>
      </w:pPr>
      <w:r w:rsidRPr="008E5339">
        <w:rPr>
          <w:rFonts w:ascii="GHEA Grapalat" w:eastAsia="Times New Roman" w:hAnsi="GHEA Grapalat" w:cs="Times New Roman"/>
          <w:color w:val="000000"/>
          <w:sz w:val="24"/>
          <w:szCs w:val="24"/>
          <w:lang w:val="hy-AM" w:eastAsia="ru-RU"/>
        </w:rPr>
        <w:t>Քրշիշթոֆ Վոյտիչեկ [Krzysztof Wojtyczek],</w:t>
      </w:r>
    </w:p>
    <w:p w:rsidR="008E5339" w:rsidRPr="008E5339" w:rsidRDefault="008E5339" w:rsidP="008E5339">
      <w:pPr>
        <w:shd w:val="clear" w:color="auto" w:fill="FFFFFF"/>
        <w:spacing w:after="0" w:line="240" w:lineRule="auto"/>
        <w:ind w:firstLine="375"/>
        <w:rPr>
          <w:rFonts w:ascii="Arial Unicode" w:eastAsia="Times New Roman" w:hAnsi="Arial Unicode" w:cs="Times New Roman"/>
          <w:color w:val="000000"/>
          <w:sz w:val="24"/>
          <w:szCs w:val="24"/>
          <w:lang w:val="hy-AM" w:eastAsia="ru-RU"/>
        </w:rPr>
      </w:pPr>
      <w:r w:rsidRPr="008E5339">
        <w:rPr>
          <w:rFonts w:ascii="GHEA Grapalat" w:eastAsia="Times New Roman" w:hAnsi="GHEA Grapalat" w:cs="Times New Roman"/>
          <w:color w:val="000000"/>
          <w:sz w:val="24"/>
          <w:szCs w:val="24"/>
          <w:lang w:val="hy-AM" w:eastAsia="ru-RU"/>
        </w:rPr>
        <w:t>Արմեն Հարությունյան [Armen Harutyunyan],</w:t>
      </w:r>
    </w:p>
    <w:p w:rsidR="008E5339" w:rsidRPr="008E5339" w:rsidRDefault="008E5339" w:rsidP="008E5339">
      <w:pPr>
        <w:shd w:val="clear" w:color="auto" w:fill="FFFFFF"/>
        <w:spacing w:after="0" w:line="240" w:lineRule="auto"/>
        <w:ind w:firstLine="375"/>
        <w:rPr>
          <w:rFonts w:ascii="Arial Unicode" w:eastAsia="Times New Roman" w:hAnsi="Arial Unicode" w:cs="Times New Roman"/>
          <w:color w:val="000000"/>
          <w:sz w:val="24"/>
          <w:szCs w:val="24"/>
          <w:lang w:val="hy-AM" w:eastAsia="ru-RU"/>
        </w:rPr>
      </w:pPr>
      <w:r w:rsidRPr="008E5339">
        <w:rPr>
          <w:rFonts w:ascii="GHEA Grapalat" w:eastAsia="Times New Roman" w:hAnsi="GHEA Grapalat" w:cs="Times New Roman"/>
          <w:color w:val="000000"/>
          <w:sz w:val="24"/>
          <w:szCs w:val="24"/>
          <w:lang w:val="hy-AM" w:eastAsia="ru-RU"/>
        </w:rPr>
        <w:t>Թիմ Այքե [Tim Eicke],</w:t>
      </w:r>
    </w:p>
    <w:p w:rsidR="008E5339" w:rsidRPr="008E5339" w:rsidRDefault="008E5339" w:rsidP="008E5339">
      <w:pPr>
        <w:shd w:val="clear" w:color="auto" w:fill="FFFFFF"/>
        <w:spacing w:after="0" w:line="240" w:lineRule="auto"/>
        <w:ind w:firstLine="375"/>
        <w:rPr>
          <w:rFonts w:ascii="Arial Unicode" w:eastAsia="Times New Roman" w:hAnsi="Arial Unicode" w:cs="Times New Roman"/>
          <w:color w:val="000000"/>
          <w:sz w:val="24"/>
          <w:szCs w:val="24"/>
          <w:lang w:val="hy-AM" w:eastAsia="ru-RU"/>
        </w:rPr>
      </w:pPr>
      <w:r w:rsidRPr="008E5339">
        <w:rPr>
          <w:rFonts w:ascii="GHEA Grapalat" w:eastAsia="Times New Roman" w:hAnsi="GHEA Grapalat" w:cs="Times New Roman"/>
          <w:color w:val="000000"/>
          <w:sz w:val="24"/>
          <w:szCs w:val="24"/>
          <w:lang w:val="hy-AM" w:eastAsia="ru-RU"/>
        </w:rPr>
        <w:t>Յովան Իլևսկի [</w:t>
      </w:r>
      <w:r w:rsidRPr="008E5339">
        <w:rPr>
          <w:rFonts w:ascii="GHEA Grapalat" w:eastAsia="Times New Roman" w:hAnsi="GHEA Grapalat" w:cs="Times New Roman"/>
          <w:i/>
          <w:iCs/>
          <w:color w:val="000000"/>
          <w:sz w:val="24"/>
          <w:szCs w:val="24"/>
          <w:lang w:val="hy-AM" w:eastAsia="ru-RU"/>
        </w:rPr>
        <w:t>Jovan Ilievski</w:t>
      </w:r>
      <w:r w:rsidRPr="008E5339">
        <w:rPr>
          <w:rFonts w:ascii="GHEA Grapalat" w:eastAsia="Times New Roman" w:hAnsi="GHEA Grapalat" w:cs="Times New Roman"/>
          <w:color w:val="000000"/>
          <w:sz w:val="24"/>
          <w:szCs w:val="24"/>
          <w:lang w:val="hy-AM" w:eastAsia="ru-RU"/>
        </w:rPr>
        <w:t>]՝</w:t>
      </w:r>
      <w:r w:rsidRPr="008E5339">
        <w:rPr>
          <w:rFonts w:ascii="Calibri" w:eastAsia="Times New Roman" w:hAnsi="Calibri" w:cs="Calibri"/>
          <w:color w:val="000000"/>
          <w:sz w:val="24"/>
          <w:szCs w:val="24"/>
          <w:lang w:val="hy-AM" w:eastAsia="ru-RU"/>
        </w:rPr>
        <w:t> </w:t>
      </w:r>
      <w:r w:rsidRPr="008E5339">
        <w:rPr>
          <w:rFonts w:ascii="GHEA Grapalat" w:eastAsia="Times New Roman" w:hAnsi="GHEA Grapalat" w:cs="Times New Roman"/>
          <w:i/>
          <w:iCs/>
          <w:color w:val="000000"/>
          <w:sz w:val="24"/>
          <w:szCs w:val="24"/>
          <w:lang w:val="hy-AM" w:eastAsia="ru-RU"/>
        </w:rPr>
        <w:t>դատավորներ</w:t>
      </w:r>
      <w:r w:rsidRPr="008E5339">
        <w:rPr>
          <w:rFonts w:ascii="GHEA Grapalat" w:eastAsia="Times New Roman" w:hAnsi="GHEA Grapalat" w:cs="Times New Roman"/>
          <w:color w:val="000000"/>
          <w:sz w:val="24"/>
          <w:szCs w:val="24"/>
          <w:lang w:val="hy-AM" w:eastAsia="ru-RU"/>
        </w:rPr>
        <w:t>,</w:t>
      </w:r>
    </w:p>
    <w:p w:rsidR="008E5339" w:rsidRPr="008E5339" w:rsidRDefault="008E5339" w:rsidP="008E5339">
      <w:pPr>
        <w:shd w:val="clear" w:color="auto" w:fill="FFFFFF"/>
        <w:spacing w:after="0" w:line="240" w:lineRule="auto"/>
        <w:ind w:firstLine="375"/>
        <w:rPr>
          <w:rFonts w:ascii="Arial Unicode" w:eastAsia="Times New Roman" w:hAnsi="Arial Unicode" w:cs="Times New Roman"/>
          <w:color w:val="000000"/>
          <w:sz w:val="24"/>
          <w:szCs w:val="24"/>
          <w:lang w:val="hy-AM" w:eastAsia="ru-RU"/>
        </w:rPr>
      </w:pPr>
      <w:r w:rsidRPr="008E5339">
        <w:rPr>
          <w:rFonts w:ascii="GHEA Grapalat" w:eastAsia="Times New Roman" w:hAnsi="GHEA Grapalat" w:cs="Times New Roman"/>
          <w:color w:val="000000"/>
          <w:sz w:val="24"/>
          <w:szCs w:val="24"/>
          <w:lang w:val="hy-AM" w:eastAsia="ru-RU"/>
        </w:rPr>
        <w:t>և Աբել Կամպոս [Abel Campos]՝</w:t>
      </w:r>
      <w:r w:rsidRPr="008E5339">
        <w:rPr>
          <w:rFonts w:ascii="Calibri" w:eastAsia="Times New Roman" w:hAnsi="Calibri" w:cs="Calibri"/>
          <w:color w:val="000000"/>
          <w:sz w:val="24"/>
          <w:szCs w:val="24"/>
          <w:lang w:val="hy-AM" w:eastAsia="ru-RU"/>
        </w:rPr>
        <w:t> </w:t>
      </w:r>
      <w:r w:rsidRPr="008E5339">
        <w:rPr>
          <w:rFonts w:ascii="GHEA Grapalat" w:eastAsia="Times New Roman" w:hAnsi="GHEA Grapalat" w:cs="Times New Roman"/>
          <w:i/>
          <w:iCs/>
          <w:color w:val="000000"/>
          <w:sz w:val="24"/>
          <w:szCs w:val="24"/>
          <w:lang w:val="hy-AM" w:eastAsia="ru-RU"/>
        </w:rPr>
        <w:t>Բաժանմունքի քարտուղար,</w:t>
      </w:r>
    </w:p>
    <w:p w:rsidR="008E5339" w:rsidRPr="008E5339" w:rsidRDefault="008E5339" w:rsidP="008E5339">
      <w:pPr>
        <w:shd w:val="clear" w:color="auto" w:fill="FFFFFF"/>
        <w:spacing w:after="0" w:line="240" w:lineRule="auto"/>
        <w:ind w:firstLine="375"/>
        <w:rPr>
          <w:rFonts w:ascii="Arial Unicode" w:eastAsia="Times New Roman" w:hAnsi="Arial Unicode" w:cs="Times New Roman"/>
          <w:color w:val="000000"/>
          <w:sz w:val="24"/>
          <w:szCs w:val="24"/>
          <w:lang w:val="hy-AM" w:eastAsia="ru-RU"/>
        </w:rPr>
      </w:pPr>
      <w:r w:rsidRPr="008E5339">
        <w:rPr>
          <w:rFonts w:ascii="GHEA Grapalat" w:eastAsia="Times New Roman" w:hAnsi="GHEA Grapalat" w:cs="Times New Roman"/>
          <w:color w:val="000000"/>
          <w:sz w:val="24"/>
          <w:szCs w:val="24"/>
          <w:lang w:val="hy-AM" w:eastAsia="ru-RU"/>
        </w:rPr>
        <w:t>2018 թվականի հուլիսի 10-ին և հոկտեմբերի 23-ին անցկացնելով դռնփակ խորհրդակցություն,</w:t>
      </w:r>
    </w:p>
    <w:p w:rsidR="008E5339" w:rsidRPr="008E5339" w:rsidRDefault="008E5339" w:rsidP="008E5339">
      <w:pPr>
        <w:shd w:val="clear" w:color="auto" w:fill="FFFFFF"/>
        <w:spacing w:after="0" w:line="240" w:lineRule="auto"/>
        <w:ind w:firstLine="375"/>
        <w:rPr>
          <w:rFonts w:ascii="Arial Unicode" w:eastAsia="Times New Roman" w:hAnsi="Arial Unicode" w:cs="Times New Roman"/>
          <w:color w:val="000000"/>
          <w:sz w:val="24"/>
          <w:szCs w:val="24"/>
          <w:lang w:val="hy-AM" w:eastAsia="ru-RU"/>
        </w:rPr>
      </w:pPr>
      <w:r w:rsidRPr="008E5339">
        <w:rPr>
          <w:rFonts w:ascii="GHEA Grapalat" w:eastAsia="Times New Roman" w:hAnsi="GHEA Grapalat" w:cs="Times New Roman"/>
          <w:color w:val="000000"/>
          <w:sz w:val="24"/>
          <w:szCs w:val="24"/>
          <w:lang w:val="hy-AM" w:eastAsia="ru-RU"/>
        </w:rPr>
        <w:t>կայացրեց հետևյալ վճիռը, որն ընդունվեց նշված վերջին օրը.</w:t>
      </w:r>
    </w:p>
    <w:p w:rsidR="008E5339" w:rsidRPr="008E5339" w:rsidRDefault="008E5339" w:rsidP="008E5339">
      <w:pPr>
        <w:shd w:val="clear" w:color="auto" w:fill="FFFFFF"/>
        <w:spacing w:after="0" w:line="240" w:lineRule="auto"/>
        <w:ind w:firstLine="375"/>
        <w:rPr>
          <w:rFonts w:ascii="Arial Unicode" w:eastAsia="Times New Roman" w:hAnsi="Arial Unicode" w:cs="Times New Roman"/>
          <w:color w:val="000000"/>
          <w:sz w:val="24"/>
          <w:szCs w:val="24"/>
          <w:lang w:val="hy-AM" w:eastAsia="ru-RU"/>
        </w:rPr>
      </w:pPr>
      <w:r w:rsidRPr="008E5339">
        <w:rPr>
          <w:rFonts w:ascii="Calibri" w:eastAsia="Times New Roman" w:hAnsi="Calibri" w:cs="Calibri"/>
          <w:color w:val="000000"/>
          <w:sz w:val="24"/>
          <w:szCs w:val="24"/>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Arial Unicode" w:eastAsia="Times New Roman" w:hAnsi="Arial Unicode" w:cs="Times New Roman"/>
          <w:color w:val="000000"/>
          <w:sz w:val="24"/>
          <w:szCs w:val="24"/>
          <w:shd w:val="clear" w:color="auto" w:fill="FFFFFF"/>
          <w:lang w:val="hy-AM" w:eastAsia="ru-RU"/>
        </w:rPr>
        <w:t>ԸՆԹԱՑԱԿԱՐԳԸ</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1.</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Սույն գործը հարուցվել է «Մարդու իրավունքների և հիմնարար ազատությունների պաշտպանության մասին» կոնվենցիայի (Կոնվենցիա) 34-րդ հոդվածի համաձայն Հայաստանի Հանրապետության քաղաքացի պրն</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ԽոսրովԱվագյանի</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դիմումատու</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կողմից</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ընդդեմ</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Հայաստանի</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Հանրապետության՝</w:t>
      </w:r>
      <w:r w:rsidRPr="008E5339">
        <w:rPr>
          <w:rFonts w:ascii="GHEA Grapalat" w:eastAsia="Times New Roman" w:hAnsi="GHEA Grapalat" w:cs="Times New Roman"/>
          <w:color w:val="000000"/>
          <w:sz w:val="24"/>
          <w:szCs w:val="24"/>
          <w:shd w:val="clear" w:color="auto" w:fill="FFFFFF"/>
          <w:lang w:val="hy-AM" w:eastAsia="ru-RU"/>
        </w:rPr>
        <w:t xml:space="preserve"> 2009 </w:t>
      </w:r>
      <w:r w:rsidRPr="008E5339">
        <w:rPr>
          <w:rFonts w:ascii="GHEA Grapalat" w:eastAsia="Times New Roman" w:hAnsi="GHEA Grapalat" w:cs="GHEA Grapalat"/>
          <w:color w:val="000000"/>
          <w:sz w:val="24"/>
          <w:szCs w:val="24"/>
          <w:shd w:val="clear" w:color="auto" w:fill="FFFFFF"/>
          <w:lang w:val="hy-AM" w:eastAsia="ru-RU"/>
        </w:rPr>
        <w:t>թվականի</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դեկտեմբերի</w:t>
      </w:r>
      <w:r w:rsidRPr="008E5339">
        <w:rPr>
          <w:rFonts w:ascii="GHEA Grapalat" w:eastAsia="Times New Roman" w:hAnsi="GHEA Grapalat" w:cs="Times New Roman"/>
          <w:color w:val="000000"/>
          <w:sz w:val="24"/>
          <w:szCs w:val="24"/>
          <w:shd w:val="clear" w:color="auto" w:fill="FFFFFF"/>
          <w:lang w:val="hy-AM" w:eastAsia="ru-RU"/>
        </w:rPr>
        <w:t xml:space="preserve"> 28-</w:t>
      </w:r>
      <w:r w:rsidRPr="008E5339">
        <w:rPr>
          <w:rFonts w:ascii="GHEA Grapalat" w:eastAsia="Times New Roman" w:hAnsi="GHEA Grapalat" w:cs="GHEA Grapalat"/>
          <w:color w:val="000000"/>
          <w:sz w:val="24"/>
          <w:szCs w:val="24"/>
          <w:shd w:val="clear" w:color="auto" w:fill="FFFFFF"/>
          <w:lang w:val="hy-AM" w:eastAsia="ru-RU"/>
        </w:rPr>
        <w:t>ին</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Դատարան</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ներկայացված</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գանգատի</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թիվ</w:t>
      </w:r>
      <w:r w:rsidRPr="008E5339">
        <w:rPr>
          <w:rFonts w:ascii="GHEA Grapalat" w:eastAsia="Times New Roman" w:hAnsi="GHEA Grapalat" w:cs="Times New Roman"/>
          <w:color w:val="000000"/>
          <w:sz w:val="24"/>
          <w:szCs w:val="24"/>
          <w:shd w:val="clear" w:color="auto" w:fill="FFFFFF"/>
          <w:lang w:val="hy-AM" w:eastAsia="ru-RU"/>
        </w:rPr>
        <w:t xml:space="preserve"> 1837/10) </w:t>
      </w:r>
      <w:r w:rsidRPr="008E5339">
        <w:rPr>
          <w:rFonts w:ascii="GHEA Grapalat" w:eastAsia="Times New Roman" w:hAnsi="GHEA Grapalat" w:cs="GHEA Grapalat"/>
          <w:color w:val="000000"/>
          <w:sz w:val="24"/>
          <w:szCs w:val="24"/>
          <w:shd w:val="clear" w:color="auto" w:fill="FFFFFF"/>
          <w:lang w:val="hy-AM" w:eastAsia="ru-RU"/>
        </w:rPr>
        <w:t>հիման</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վրա</w:t>
      </w:r>
      <w:r w:rsidRPr="008E5339">
        <w:rPr>
          <w:rFonts w:ascii="GHEA Grapalat" w:eastAsia="Times New Roman" w:hAnsi="GHEA Grapalat" w:cs="Times New Roman"/>
          <w:color w:val="000000"/>
          <w:sz w:val="24"/>
          <w:szCs w:val="24"/>
          <w:shd w:val="clear" w:color="auto" w:fill="FFFFFF"/>
          <w:lang w:val="hy-AM" w:eastAsia="ru-RU"/>
        </w:rPr>
        <w:t>:</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2.</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Դիմումատուին ներկայացրել են Երևանում գործող իրավաբաններ տկն</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Հ</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Հարությունյանը</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և</w:t>
      </w:r>
      <w:r w:rsidRPr="008E5339">
        <w:rPr>
          <w:rFonts w:ascii="GHEA Grapalat" w:eastAsia="Times New Roman" w:hAnsi="GHEA Grapalat" w:cs="Times New Roman"/>
          <w:color w:val="000000"/>
          <w:sz w:val="24"/>
          <w:szCs w:val="24"/>
          <w:shd w:val="clear" w:color="auto" w:fill="FFFFFF"/>
          <w:lang w:val="hy-AM" w:eastAsia="ru-RU"/>
        </w:rPr>
        <w:t xml:space="preserve"> պրն Ա. Մելքոնյանը: Հայաստանի Հանրապետության կառավարությունը (Կառավարություն) ներկայացրել է Մարդու իրավունքների </w:t>
      </w:r>
      <w:r w:rsidRPr="008E5339">
        <w:rPr>
          <w:rFonts w:ascii="GHEA Grapalat" w:eastAsia="Times New Roman" w:hAnsi="GHEA Grapalat" w:cs="Times New Roman"/>
          <w:color w:val="000000"/>
          <w:sz w:val="24"/>
          <w:szCs w:val="24"/>
          <w:shd w:val="clear" w:color="auto" w:fill="FFFFFF"/>
          <w:lang w:val="hy-AM" w:eastAsia="ru-RU"/>
        </w:rPr>
        <w:lastRenderedPageBreak/>
        <w:t>եվրոպական դատարանում Հայաստանի Հանրապետության կառավարության լիազոր ներկայացուցիչ պրն Գ. Կոստանյանը:</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3.</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Դիմումատուն պնդել է, մասնավորապես, որ իրեն հնարավորություն չի</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տրվել</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քրեական</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վարույթի</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ընթացքում</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հարցաքննելու</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իր</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դեմ</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ցուցմունք</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տված</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փորձագետներին։</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4.</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2016 թվականի մայիսի 24-ին դիմումատուի՝ փորձագետներին հարցաքննելու հնարավորություն չունենալու վերաբերյալ բողոքն ուղարկվել է Կառավարություն, իսկ գանգատը մնացած մասով հայտարարվել է անընդունելի՝ Դատարանի կանոնակարգի 54-րդ կանոնի 3-րդ կետի համաձայն։</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ՓԱՍՏԵՐԸ</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I.</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ԳՈՐԾԻ ՓԱՍՏԱԿԱՆ ՀԱՆԳԱՄԱՆՔՆԵՐԸ</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5.</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Դիմումատուն ծնվել է 1946 թվականին և ապրում է Երևանում:</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6.</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2007 թվականի հունվարի 2-ին երկու տարեց քույրեր՝ Մ.Գ.-ն և Վ.Գ.-ն, վերջինիս բնակարանում, որտեղ նրանք միասին ապրում էին, հայտնաբերվել են մահացած, որից հետո քրեական հետապնդման մարմինները սկսել են նրանց մահվան փաստի առթիվ քննություն։ Ըստ երևույթին, դիմումատուն ճանաչել է Վ.Գ.-ին, որը 2006 թվականի ապրիլի 5-ին կտակ էր կազմել, համաձայն որի՝ նա իր բնակարանը կտակել էր դիմումատուին։</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7.</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Նույն օրը հանձնարարվել է իրականացնել դատաբժշկական փորձաքննություն, այդ թվում՝ դիահերձում՝ որոշելու համար,</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i/>
          <w:iCs/>
          <w:color w:val="000000"/>
          <w:sz w:val="24"/>
          <w:szCs w:val="24"/>
          <w:shd w:val="clear" w:color="auto" w:fill="FFFFFF"/>
          <w:lang w:val="hy-AM" w:eastAsia="ru-RU"/>
        </w:rPr>
        <w:t>inter alia</w:t>
      </w:r>
      <w:r w:rsidRPr="008E5339">
        <w:rPr>
          <w:rFonts w:ascii="Calibri" w:eastAsia="Times New Roman" w:hAnsi="Calibri" w:cs="Calibri"/>
          <w:i/>
          <w:iCs/>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GHEA Grapalat" w:eastAsia="Times New Roman" w:hAnsi="GHEA Grapalat" w:cs="Times New Roman"/>
          <w:i/>
          <w:iCs/>
          <w:color w:val="000000"/>
          <w:sz w:val="24"/>
          <w:szCs w:val="24"/>
          <w:shd w:val="clear" w:color="auto" w:fill="FFFFFF"/>
          <w:lang w:val="hy-AM" w:eastAsia="ru-RU"/>
        </w:rPr>
        <w:t>ի թիվս այլնի</w:t>
      </w:r>
      <w:r w:rsidRPr="008E5339">
        <w:rPr>
          <w:rFonts w:ascii="GHEA Grapalat" w:eastAsia="Times New Roman" w:hAnsi="GHEA Grapalat" w:cs="Times New Roman"/>
          <w:color w:val="000000"/>
          <w:sz w:val="24"/>
          <w:szCs w:val="24"/>
          <w:shd w:val="clear" w:color="auto" w:fill="FFFFFF"/>
          <w:lang w:val="hy-AM" w:eastAsia="ru-RU"/>
        </w:rPr>
        <w:t>), երկու քույրերի մահվան պատճառը։</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8.</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2007 թվականի փետրվարի 2-ին փորձագետ Ա.Դ.-ն ներկայացրել է երկու եզրակացություն (թիվ 22 և թիվ 23)։ Համաձայն առաջին եզրակացության՝ Մ.Գ.-ի մահը վրա է հասել սուր սրտային անբավարարությունից, որի պատճառը եղել է մարմնի ցածր ջերմաստիճանը, իսկ թիվ 23 եզրակացության մեջ նշվել է, որ Վ.Գ.-ի մահը վրա է հասել հիպոթերմիայից։</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9.</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2007 թվականի փետրվարի 9-ին դատախազը որոշել է ավարտել [քրեական գործով] քննությունը։ Թիվ 22 և թիվ 23 դատաբժշկական փորձաքննությունների վրա հիմնվելով՝ դատախազը հանգել է այն եզրակացության, որ քույրերի մահը չի եղել դիտավորության կամ անզգուշության հետևանքով։</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10.</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2007 թվականի փետրվարի 14-ին դիմումատուն Վ.Գ.-ի կտակը ներկայացրել է նոտարին և տվել նրա բնակարանը ժառանգելու իր համաձայնությունը։</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11.</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2007 թվականի հունիսի 1-ին Մ.Գ.-ի և Վ.Գ.-ի զարմուհին դիմել է դատախազություն՝ նշելով, որ չնայած Վ.Գ.-ն դեռևս 1991 թվականին նոտարով հաստատված կտակով բնակարանը կտակել է իրեն, ինքը տեղեկացվել է, որ դիմումատուն միևնույն բնակարանի մասով ներկայացրել է մեկ այլ կտակ, համաձայն որի՝ բնակարանը անցել է վերջինիս։ Նա պնդել է, որ այդ կտակի վրա իր հորաքրոջ ստորագրությունը կեղծված է եղել։</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12.</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Պարզ է դառնում, որ 2007 թվականի հուլիսի 11-ին Մ.Գ.-ի և Վ.Գ.-ի դիակների արտաշիրիմումից հետո իրականացվել է դիակների լրացուցիչ հետմահու դատաբժշկական փորձաքննություն՝ որոշելու համար,</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i/>
          <w:iCs/>
          <w:color w:val="000000"/>
          <w:sz w:val="24"/>
          <w:szCs w:val="24"/>
          <w:shd w:val="clear" w:color="auto" w:fill="FFFFFF"/>
          <w:lang w:val="hy-AM" w:eastAsia="ru-RU"/>
        </w:rPr>
        <w:t>inter alia</w:t>
      </w:r>
      <w:r w:rsidRPr="008E5339">
        <w:rPr>
          <w:rFonts w:ascii="GHEA Grapalat" w:eastAsia="Times New Roman" w:hAnsi="GHEA Grapalat" w:cs="Times New Roman"/>
          <w:color w:val="000000"/>
          <w:sz w:val="24"/>
          <w:szCs w:val="24"/>
          <w:shd w:val="clear" w:color="auto" w:fill="FFFFFF"/>
          <w:lang w:val="hy-AM" w:eastAsia="ru-RU"/>
        </w:rPr>
        <w:t>, թե արդյոք թիվ 22 և թիվ 23 դատական եզրակացություններով ճիշտ է որոշվել մահվան պատճառները, և եթե ոչ, ապա արդյոք հնարավոր է, որ նրանք մահացել են թունավորված լինելու պատճառով։</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lastRenderedPageBreak/>
        <w:t>13.</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2007 թվականի օգոստոսի 7-ին քննիչը որոշել է [ստորագրությունը] կեղծելու փաստի առթիվ քննություն սկսել։</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14.</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Պարզ է դառնում, որ քննության որոշակի փուլում դիմումատուն հայտնել է, որ ինքը երբեք չի այցելել այն բնակարանը, որտեղ բնակվել են Մ.Գ.-ն և Վ.Գ.-ն, և չի իմացել, թե որտեղ է այն գտնվում։ 2006 թվականին Վ.Գ.-Ն, որին դիմումատուն ճանաչել է, եկել է իր տուն՝ իրեն հանձնելու որոշ փաստաթղթեր, մասնավորապես՝ կտակը և նոտարի կողմից տրվող այլ փաստաթղթեր՝ տեղեկացնելով դիմումատուին, որ նա իր բնակարանը կտակել է իրեն։</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15.</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2007 թվականի սեպտեմբերի 25-ին Գ.Հ.-ն և Ա.Բ-ն տվել են թիվ13/631/K և թիվ 14/630/K փորձագիտական եզրակացությունները, համաձայն որոնց՝ երկու քույրերն էլ մահացել են ֆոսֆորօրգանական միացություններով թունավորվելու հետևանքով։</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16.</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2007 թվականի սեպտեմբերի 26-ին դիմումատուին մեղադրանք է առաջադրվել խարդախություն կատարելու և շահադիտական դրդումներով սպանության համար՝ երկու դրվագով։ Հաջորդ օրը նա կալանավորվել է։</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17.</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Դատատեխնիկական և թունաբանական փորձաքննությունն ավարտվել է 2007 թվականի դեկտեմբերի 21-ին։ Դիմումատուի դատահոգեբանական, դատահոգեբուժական ստացիոնար փորձաքննության արդյունքներն ստացվել են 2008 թվականի փետրվարի 8-ին։ Երեք փորձագետներ՝ Գ.Հ.-Ն, Ա.Դ.-ն և Մ.Ա.-ն, փորձագիտական եզրակացությունների առնչությամբ ցուցմունք են տվել համապատասխանաբար 2007 թվականի դեկտեմբերի 6-ին, 2008 թվականի հունվարի 25-ին և փետրվարի 5-ին։</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18.</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2008 թվականի մայիսի 26-ին Մ.Գ.-ի և Վ.Գ.-ի դիակների լրացուցիչ արտաշիրիմումից հետո նշանակվել է դիակների լրացուցիչ հետմահու դատաբժշկական փորձաքննություն, որոնք ավարտվել են 2008 թվականի հունիսի 27-ին։ Ս.Հ.-ի և Ս.Ս.-ի կողմից ներկայացված թիվ 12/525/K և 13/526/K փորձագիտական եզրակացություններով հաստատվել է, որ երկու տուժողների մարմիններում էլ առկա են եղել ֆոսֆորօրգանական միացություններ։</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19.</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2008 թվականի հուլիսի 8-ին դիմումատուի գործն ուղարկվել է Երևանի քրեական դատարան՝ դատական քննության։</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20.</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2008 թվականի օգոստոսի 26-ի դատական նիստի ընթացքում բարձրաձայն հրապարակվել են բոլոր փորձագետ-վկաների եզրակացությունները։ Այնուհետև դիմումատուն բանավոր խնդրել է հնարավորություն ընձեռել՝ մասնագիտական գիտելիքներ պահանջող մի շարք հարցեր պարզաբանելու նպատակով դատարանում հարցաքննելու փորձագետ-վկաներ Ա.Դ.-ին, Ս.Հ.-ին և Ս.Ս.-ին, ովքեր ներկայացրել էին հակասական եզրակացություններ։ Դատարանը որոշել է հետաձգել գործի քննությունը։</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21.</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2008 թվականի սեպտեմբերի 25-ի դատական նիստի ընթացքում դիմումատուի ներկայացուցիչը կրկին խնդրել է հարցաքննել փորձագետ-վկաներին, բայց նրա խնդրանքը բանավոր մերժվել է առաջին ատյանի դատարանի դատավորի կողմից։ Դատավորն իր որոշումը պատճառաբանել է՝ նշելով, որ քանի որ Ա.Դ.-ի կողմից ներկայացված առաջին եզրակացության բովանդակությունն արդեն իսկ պարզաբանվել է դրան հաջորդող փորձագիտական եզրակացություններով, ուստի փորձագետ-վկաներին կանչելու անհրաժեշտություն չկա։</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22.</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 xml:space="preserve">2008 թվականի հոկտեմբերի 21-ին Երևանի քրեական դատարանը դիմումատուին մեղավոր է ճանաչել երկու դրվագներով՝ շահադիտական դրդումներով ծանրացնող հանգամանքներում սպանություն կատարելու համար և դատապարտել՝ ցմահ ազատազրկման։ Այդպիսով, այն հիմնականում հիմնվել է տուժողների </w:t>
      </w:r>
      <w:r w:rsidRPr="008E5339">
        <w:rPr>
          <w:rFonts w:ascii="GHEA Grapalat" w:eastAsia="Times New Roman" w:hAnsi="GHEA Grapalat" w:cs="Times New Roman"/>
          <w:color w:val="000000"/>
          <w:sz w:val="24"/>
          <w:szCs w:val="24"/>
          <w:shd w:val="clear" w:color="auto" w:fill="FFFFFF"/>
          <w:lang w:val="hy-AM" w:eastAsia="ru-RU"/>
        </w:rPr>
        <w:lastRenderedPageBreak/>
        <w:t>հարազատների և հարևանների՝ դատական քննության ժամանակ տված ցուցմունքների վրա, որոնք պնդել են, որ դիմումատուն մի քանի անգամ քույրերին իրենց բնակարանում այցելության է գնացել, ինչպես նաև փորձագիտական եզրակացությունների, դիմումատուի բնակարանից առգրավված իրեղեն ապացույցների, մասնավորապես՝ Վ.Գ.-ի բնակարանի</w:t>
      </w:r>
      <w:r w:rsidRPr="008E5339">
        <w:rPr>
          <w:rFonts w:ascii="Calibri" w:eastAsia="Times New Roman" w:hAnsi="Calibri" w:cs="Calibri"/>
          <w:color w:val="000000"/>
          <w:sz w:val="24"/>
          <w:szCs w:val="24"/>
          <w:shd w:val="clear" w:color="auto" w:fill="FFFFFF"/>
          <w:lang w:val="hy-AM" w:eastAsia="ru-RU"/>
        </w:rPr>
        <w:t> </w:t>
      </w:r>
      <w:r w:rsidRPr="008E5339">
        <w:rPr>
          <w:rFonts w:ascii="Arial Unicode" w:eastAsia="Times New Roman" w:hAnsi="Arial Unicode" w:cs="Times New Roman"/>
          <w:color w:val="000000"/>
          <w:spacing w:val="-6"/>
          <w:sz w:val="24"/>
          <w:szCs w:val="24"/>
          <w:shd w:val="clear" w:color="auto" w:fill="FFFFFF"/>
          <w:lang w:val="hy-AM" w:eastAsia="ru-RU"/>
        </w:rPr>
        <w:t>առնչությամբ սեփականության վկայականի և Վ.Գ.-ի՝ 2006 թվականի ապրիլի 5-ին կազմված կտակի բնօրինակների</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և վերջինիս մահվան վկայականի կրկնօրինակի վրա։ Դիմումատուին մեղավոր ճանաչելով՝ առաջին ատյանի դատարանը հաշվի է առել նաև այն փաստը, որ նա նախկինում դատապարտված է եղել ֆինանսական շահ հետապնդելու նպատակով ծեր կնոջ սպանության համար՝ վերջինիս բնակարանի նկատմամբ սեփականության իրավունք ձեռք բերելու նպատակով։</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23.</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Դիմումատուն ներկայացրել է վերաքննիչ բողոք՝ պնդելով,</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i/>
          <w:iCs/>
          <w:color w:val="000000"/>
          <w:sz w:val="24"/>
          <w:szCs w:val="24"/>
          <w:shd w:val="clear" w:color="auto" w:fill="FFFFFF"/>
          <w:lang w:val="hy-AM" w:eastAsia="ru-RU"/>
        </w:rPr>
        <w:t>inter alia</w:t>
      </w:r>
      <w:r w:rsidRPr="008E5339">
        <w:rPr>
          <w:rFonts w:ascii="GHEA Grapalat" w:eastAsia="Times New Roman" w:hAnsi="GHEA Grapalat" w:cs="Times New Roman"/>
          <w:color w:val="000000"/>
          <w:sz w:val="24"/>
          <w:szCs w:val="24"/>
          <w:shd w:val="clear" w:color="auto" w:fill="FFFFFF"/>
          <w:lang w:val="hy-AM" w:eastAsia="ru-RU"/>
        </w:rPr>
        <w:t>, որ ինքը զրկված է եղել փորձագետների հակասական եզրակացությունների առնչությամբ նրանց հարցաքննելու հնարավորությունից։</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24.</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Վերաքննիչ քրեական դատարանը 2009 թվականի փետրվարի 12-ին մերժել է դիմումատուի վերաքննիչ բողոքը՝ առանց անդրադառնալու դատական քննության ընթացքում փորձագետներին հարցաքննելու անհնարինության վերաբերյալ նրա բերած բողոքին։</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25.</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2009 թվականի հուլիսի 2-ին դիմումատուն ներկայացրել է վճռաբեկ բողոք՝ ներկայացնելով նմանատիպ բողոքներ, ինչպես և նախկինում։</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26.</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2009 թվականի հուլիսի 28-ին Վճռաբեկ դատարանը դիմումատուի բողոքը ճանաչել է անընդունելի՝ հիմքերի բացակայության պատճառով։</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II.</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ՀԱՄԱՊԱՏԱՍԽԱՆ ՆԵՐՊԵՏԱԿԱՆ ՕՐԵՆՍԴՐՈՒԹՅՈՒՆԸ</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b/>
          <w:bCs/>
          <w:color w:val="000000"/>
          <w:sz w:val="24"/>
          <w:szCs w:val="24"/>
          <w:shd w:val="clear" w:color="auto" w:fill="FFFFFF"/>
          <w:lang w:val="hy-AM" w:eastAsia="ru-RU"/>
        </w:rPr>
        <w:t>Քրեական դատավարության օրենսգիրք (ուժի մեջ է 1999 թվականի հունվարի 12–ից)</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27.</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114-րդ հոդվածի 2-րդ մասի համաձայն՝ փորձագետը կարող է հարցաքննվել իր տված եզրակացության պարզաբանման կապակցությամբ։ Փորձագետի հարցաքննության արձանագրությունը չի կարող փոխարինել փորձագետի եզրակացությանը (114-րդ հոդվածի 3-րդ մաս)։</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28.</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243-րդ հոդվածի համաձայն՝ փորձաքննությունը կատարվում է</w:t>
      </w:r>
      <w:r w:rsidRPr="008E5339">
        <w:rPr>
          <w:rFonts w:ascii="Calibri" w:eastAsia="Times New Roman" w:hAnsi="Calibri" w:cs="Calibri"/>
          <w:color w:val="000000"/>
          <w:sz w:val="24"/>
          <w:szCs w:val="24"/>
          <w:shd w:val="clear" w:color="auto" w:fill="FFFFFF"/>
          <w:lang w:val="hy-AM" w:eastAsia="ru-RU"/>
        </w:rPr>
        <w:t> </w:t>
      </w:r>
      <w:r w:rsidRPr="008E5339">
        <w:rPr>
          <w:rFonts w:ascii="Arial Unicode" w:eastAsia="Times New Roman" w:hAnsi="Arial Unicode" w:cs="Times New Roman"/>
          <w:color w:val="000000"/>
          <w:spacing w:val="-6"/>
          <w:sz w:val="24"/>
          <w:szCs w:val="24"/>
          <w:shd w:val="clear" w:color="auto" w:fill="FFFFFF"/>
          <w:lang w:val="hy-AM" w:eastAsia="ru-RU"/>
        </w:rPr>
        <w:t>հետաքննության մարմնի աշխատակցի, քննիչի, դատախազի որոշման հիման վրա։</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29.</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247-րդ հոդվածի 1-ին մասով սահմանվում են կասկածյալի և մեղադրյալի իրավունքներն այն դեպքում,</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երբ</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նշանակվել</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է</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փորձաքննություն, ներառյալ՝</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մինչև</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փորձաքննությունը</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կատարելը</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փորձաքննություն</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նշանակելու</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մասին</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որոշմանը</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ծանոթանալու</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իրավունքը</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փորձագետի</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եզրակացության</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հետ</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համաձայն</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չլինելու</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դեպքում</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լրացուցիչ</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փորձաքննություն</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նշանակելու</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մասին</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միջնորդություն</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ներկայացնելու</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իրավու</w:t>
      </w:r>
      <w:r w:rsidRPr="008E5339">
        <w:rPr>
          <w:rFonts w:ascii="GHEA Grapalat" w:eastAsia="Times New Roman" w:hAnsi="GHEA Grapalat" w:cs="Times New Roman"/>
          <w:color w:val="000000"/>
          <w:sz w:val="24"/>
          <w:szCs w:val="24"/>
          <w:shd w:val="clear" w:color="auto" w:fill="FFFFFF"/>
          <w:lang w:val="hy-AM" w:eastAsia="ru-RU"/>
        </w:rPr>
        <w:t>նքը, ինչպես նաև</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փորձագետի</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հարցաքննությանը</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մասնակցելու</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իրավունքը</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եթե</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դա</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կատարվում</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է</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իր</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միջնորդությամբ</w:t>
      </w:r>
      <w:r w:rsidRPr="008E5339">
        <w:rPr>
          <w:rFonts w:ascii="GHEA Grapalat" w:eastAsia="Times New Roman" w:hAnsi="GHEA Grapalat" w:cs="Times New Roman"/>
          <w:color w:val="000000"/>
          <w:sz w:val="24"/>
          <w:szCs w:val="24"/>
          <w:shd w:val="clear" w:color="auto" w:fill="FFFFFF"/>
          <w:lang w:val="hy-AM" w:eastAsia="ru-RU"/>
        </w:rPr>
        <w:t>:</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30.</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252-րդ հոդվածի 1-ին մասի համաձայն՝ եթե փորձագետի եզրակացությունը բավարար չափով պարզ չէ և ունի բացեր, որոնք լրացնելու համար չեն պահանջվում լրացուցիչ հետազոտություններ, կամ անհրաժեշտություն է առաջացել ճշտելու փորձագետի կողմից կիրառված մեթոդները և հասկացությունները, քննիչն իրավունք ունի հարցաքննելու փորձագետին` վկայի հարցաքննության նկատմամբ կիրառվող կանոններին համապատասխան։</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lastRenderedPageBreak/>
        <w:t>ԻՐԱՎՈՒՆՔԸ</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I.</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ԿՈՆՎԵՆՑԻԱՅԻ 6-ՐԴ ՀՈԴՎԱԾԻ 1-ԻՆ ԿԵՏԻ ԵՎ 3-ՐԴ ԿԵՏԻ «Դ» ԵՆԹԱԿԵՏԻ ԵՆԹԱԴՐՅԱԼ ԽԱԽՏՈՒՄԸ</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31.</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Դիմումատուն բողոքել է, որ իրեն զրկել են փորձագետներին՝ նրանց եզրակացություններում առկա հետևությունների հավաստիությունը վիճարկելու նպատակով հարցաքննելու հնարավորությունից, մինչդեռ դրանք համարվել են իր մեղադրանքը հիմնավորող վճռորոշ ապացույցներ:</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32.</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Կոնվենցիայի 6-րդ հոդվածի 1-ին կետը և 3-րդ կետի «դ» ենթակետը շարադրված են հետևյալ կերպ՝</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«1.</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Յուրաքանչյուր ոք, երբ որոշվում են … իրեն ներկայացված քրեական մեղադրանքի հիմնավորվածությունը, ունի ... տրիբունալի կողմից ....արդարացի ... լսումների իրավունք։</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3.</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Քրեական իրավախախտում կատարելու մեջ մեղադրվող յուրաքանչյուր ոք ունի հետևյալ նվազագույն իրավունքները.</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դ)</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հարցաքննելու իր դեմ ցուցմունք տվող վկաներին կամ իրավունք ունենալու, որ այդ վկաները ենթարկվեն հարցաքննության, և իրավունք ունենալու՝ իր վկաներին կանչելու և հարցաքննելու միևնույն պայմաններով, ինչ իր դեմ ցուցմունք տված վկաները,</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b/>
          <w:bCs/>
          <w:color w:val="000000"/>
          <w:sz w:val="24"/>
          <w:szCs w:val="24"/>
          <w:shd w:val="clear" w:color="auto" w:fill="FFFFFF"/>
          <w:lang w:val="hy-AM" w:eastAsia="ru-RU"/>
        </w:rPr>
        <w:t>Ա.</w:t>
      </w:r>
      <w:r w:rsidRPr="008E5339">
        <w:rPr>
          <w:rFonts w:ascii="Calibri" w:eastAsia="Times New Roman" w:hAnsi="Calibri" w:cs="Calibri"/>
          <w:b/>
          <w:bCs/>
          <w:color w:val="000000"/>
          <w:sz w:val="24"/>
          <w:szCs w:val="24"/>
          <w:shd w:val="clear" w:color="auto" w:fill="FFFFFF"/>
          <w:lang w:val="hy-AM" w:eastAsia="ru-RU"/>
        </w:rPr>
        <w:t> </w:t>
      </w:r>
      <w:r w:rsidRPr="008E5339">
        <w:rPr>
          <w:rFonts w:ascii="GHEA Grapalat" w:eastAsia="Times New Roman" w:hAnsi="GHEA Grapalat" w:cs="Times New Roman"/>
          <w:b/>
          <w:bCs/>
          <w:color w:val="000000"/>
          <w:sz w:val="24"/>
          <w:szCs w:val="24"/>
          <w:shd w:val="clear" w:color="auto" w:fill="FFFFFF"/>
          <w:lang w:val="hy-AM" w:eastAsia="ru-RU"/>
        </w:rPr>
        <w:t>Ընդունելիությունը</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33.</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Դատարանը նշում է, որ գանգատը Կոնվենցիայի 35-րդ հոդվածի 3-րդ կետի «ա» ենթակետի իմաստով ակնհայտ անհիմն չէ։ Դատարանն այնուհետև նշում է, որ այն անընդունելի չէ որևէ այլ հիմքով։ Հետևաբար այն պետք է հայտարարվի ընդունելի։</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b/>
          <w:bCs/>
          <w:color w:val="000000"/>
          <w:sz w:val="24"/>
          <w:szCs w:val="24"/>
          <w:shd w:val="clear" w:color="auto" w:fill="FFFFFF"/>
          <w:lang w:val="hy-AM" w:eastAsia="ru-RU"/>
        </w:rPr>
        <w:t>Բ.</w:t>
      </w:r>
      <w:r w:rsidRPr="008E5339">
        <w:rPr>
          <w:rFonts w:ascii="Calibri" w:eastAsia="Times New Roman" w:hAnsi="Calibri" w:cs="Calibri"/>
          <w:b/>
          <w:bCs/>
          <w:color w:val="000000"/>
          <w:sz w:val="24"/>
          <w:szCs w:val="24"/>
          <w:shd w:val="clear" w:color="auto" w:fill="FFFFFF"/>
          <w:lang w:val="hy-AM" w:eastAsia="ru-RU"/>
        </w:rPr>
        <w:t> </w:t>
      </w:r>
      <w:r w:rsidRPr="008E5339">
        <w:rPr>
          <w:rFonts w:ascii="GHEA Grapalat" w:eastAsia="Times New Roman" w:hAnsi="GHEA Grapalat" w:cs="Times New Roman"/>
          <w:b/>
          <w:bCs/>
          <w:color w:val="000000"/>
          <w:sz w:val="24"/>
          <w:szCs w:val="24"/>
          <w:shd w:val="clear" w:color="auto" w:fill="FFFFFF"/>
          <w:lang w:val="hy-AM" w:eastAsia="ru-RU"/>
        </w:rPr>
        <w:t>Ըստ էության քննությունը</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1.</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Կողմերի փաստարկները</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b/>
          <w:bCs/>
          <w:color w:val="000000"/>
          <w:sz w:val="24"/>
          <w:szCs w:val="24"/>
          <w:shd w:val="clear" w:color="auto" w:fill="FFFFFF"/>
          <w:lang w:val="hy-AM" w:eastAsia="ru-RU"/>
        </w:rPr>
        <w:t>ա)</w:t>
      </w:r>
      <w:r w:rsidRPr="008E5339">
        <w:rPr>
          <w:rFonts w:ascii="Calibri" w:eastAsia="Times New Roman" w:hAnsi="Calibri" w:cs="Calibri"/>
          <w:b/>
          <w:bCs/>
          <w:color w:val="000000"/>
          <w:sz w:val="24"/>
          <w:szCs w:val="24"/>
          <w:shd w:val="clear" w:color="auto" w:fill="FFFFFF"/>
          <w:lang w:val="hy-AM" w:eastAsia="ru-RU"/>
        </w:rPr>
        <w:t> </w:t>
      </w:r>
      <w:r w:rsidRPr="008E5339">
        <w:rPr>
          <w:rFonts w:ascii="GHEA Grapalat" w:eastAsia="Times New Roman" w:hAnsi="GHEA Grapalat" w:cs="Times New Roman"/>
          <w:b/>
          <w:bCs/>
          <w:color w:val="000000"/>
          <w:sz w:val="24"/>
          <w:szCs w:val="24"/>
          <w:shd w:val="clear" w:color="auto" w:fill="FFFFFF"/>
          <w:lang w:val="hy-AM" w:eastAsia="ru-RU"/>
        </w:rPr>
        <w:t>Դիմումատուն</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34.</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Դիմումատուն պնդել է, որ վարույթի որևէ փուլում ինքը չի կարողացել հարցաքննել փորձագետներին, որոնց եզրակացությունները, որպես ապացույց, օգտագործվել են իր դեմ։ Իրեն չի տրվել փորձագետներին հարցեր ուղղելու հնարավորություն,</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i/>
          <w:iCs/>
          <w:color w:val="000000"/>
          <w:sz w:val="24"/>
          <w:szCs w:val="24"/>
          <w:shd w:val="clear" w:color="auto" w:fill="FFFFFF"/>
          <w:lang w:val="hy-AM" w:eastAsia="ru-RU"/>
        </w:rPr>
        <w:t>inter alia</w:t>
      </w:r>
      <w:r w:rsidRPr="008E5339">
        <w:rPr>
          <w:rFonts w:ascii="GHEA Grapalat" w:eastAsia="Times New Roman" w:hAnsi="GHEA Grapalat" w:cs="Times New Roman"/>
          <w:color w:val="000000"/>
          <w:sz w:val="24"/>
          <w:szCs w:val="24"/>
          <w:shd w:val="clear" w:color="auto" w:fill="FFFFFF"/>
          <w:lang w:val="hy-AM" w:eastAsia="ru-RU"/>
        </w:rPr>
        <w:t xml:space="preserve">, այն փաստի վերաբերյալ, թե թունավորման պատճառ հանդիսացող պեստիցիդները ե՞րբ և ինչպե՞ս են հայտնվել տուժողների մարմիններում, արդյո՞ք դրանք օգտագործվել են մեկ կամ մի քանի անգամ, ի՞նչ քանակությամբ պեստիցիդը կարող է մահ առաջացնել, և արդյո՞ք որևէ պատճառահետևանքային կապ եղել է մահվան և պեստիցիդի օգտագործված քանակության միջև: Այդ մերժման արդյունքում դիմումատուն զրկվել է իր դեմ ներկայացված մեղադրանքները վիճարկելու բավարար և պատշաճ հնարավորությունից։ Այդպիսի հնարավորությունը կարևոր կլիներ նաև այն պատճառով, որ մինչդատական վարույթի ընթացքում հարցաքննվել են </w:t>
      </w:r>
      <w:r w:rsidRPr="008E5339">
        <w:rPr>
          <w:rFonts w:ascii="GHEA Grapalat" w:eastAsia="Times New Roman" w:hAnsi="GHEA Grapalat" w:cs="Times New Roman"/>
          <w:color w:val="000000"/>
          <w:sz w:val="24"/>
          <w:szCs w:val="24"/>
          <w:shd w:val="clear" w:color="auto" w:fill="FFFFFF"/>
          <w:lang w:val="hy-AM" w:eastAsia="ru-RU"/>
        </w:rPr>
        <w:lastRenderedPageBreak/>
        <w:t>միայն երկու փորձագետ, իսկ դատական քննության ընթացքում նրանցից ոչ ոք չիհարցաքննվել:</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35.</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Դիմումատուն ընդգծել է, որ փորձագետների հարցաքննությունը մերժելու որևէ հիմնավոր պատճառ չի եղել։ Նրանց ցուցմունքները գործի արդարացի լուծման համար վճռորոշ նշանակություն են ունեցել, քանի որ տուժողների մահվան պատճառը պարզված չի եղել: Մյուս թույլատրված ապացույցները բավարար չեն եղել դիմումատուի մեղքը հաստատելու համար, քանի որ դրանք հիմնականում եղել են անուղղակի ապացույցներ և հիմնված են եղել սուբյեկտիվ վկաների ցուցմունքների վրա:</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b/>
          <w:bCs/>
          <w:color w:val="000000"/>
          <w:sz w:val="24"/>
          <w:szCs w:val="24"/>
          <w:shd w:val="clear" w:color="auto" w:fill="FFFFFF"/>
          <w:lang w:val="hy-AM" w:eastAsia="ru-RU"/>
        </w:rPr>
        <w:t>բ)</w:t>
      </w:r>
      <w:r w:rsidRPr="008E5339">
        <w:rPr>
          <w:rFonts w:ascii="Calibri" w:eastAsia="Times New Roman" w:hAnsi="Calibri" w:cs="Calibri"/>
          <w:b/>
          <w:bCs/>
          <w:color w:val="000000"/>
          <w:sz w:val="24"/>
          <w:szCs w:val="24"/>
          <w:shd w:val="clear" w:color="auto" w:fill="FFFFFF"/>
          <w:lang w:val="hy-AM" w:eastAsia="ru-RU"/>
        </w:rPr>
        <w:t> </w:t>
      </w:r>
      <w:r w:rsidRPr="008E5339">
        <w:rPr>
          <w:rFonts w:ascii="GHEA Grapalat" w:eastAsia="Times New Roman" w:hAnsi="GHEA Grapalat" w:cs="Times New Roman"/>
          <w:b/>
          <w:bCs/>
          <w:color w:val="000000"/>
          <w:sz w:val="24"/>
          <w:szCs w:val="24"/>
          <w:shd w:val="clear" w:color="auto" w:fill="FFFFFF"/>
          <w:lang w:val="hy-AM" w:eastAsia="ru-RU"/>
        </w:rPr>
        <w:t>Կառավարությունը</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36.</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Կառավարությունը</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պնդել</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է</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որ</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դիմումատուն</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հնարավորություն</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է</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ու</w:t>
      </w:r>
      <w:r w:rsidRPr="008E5339">
        <w:rPr>
          <w:rFonts w:ascii="GHEA Grapalat" w:eastAsia="Times New Roman" w:hAnsi="GHEA Grapalat" w:cs="Times New Roman"/>
          <w:color w:val="000000"/>
          <w:sz w:val="24"/>
          <w:szCs w:val="24"/>
          <w:shd w:val="clear" w:color="auto" w:fill="FFFFFF"/>
          <w:lang w:val="hy-AM" w:eastAsia="ru-RU"/>
        </w:rPr>
        <w:t>նեցել</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հարցաքննելու</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փորձագետներին</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որոնց</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եզրակացությունները</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դատական</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քննության</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ընթացքում</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օգտագործվել</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են</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իր</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դեմ</w:t>
      </w:r>
      <w:r w:rsidRPr="008E5339">
        <w:rPr>
          <w:rFonts w:ascii="GHEA Grapalat" w:eastAsia="Times New Roman" w:hAnsi="GHEA Grapalat" w:cs="Times New Roman"/>
          <w:color w:val="000000"/>
          <w:sz w:val="24"/>
          <w:szCs w:val="24"/>
          <w:shd w:val="clear" w:color="auto" w:fill="FFFFFF"/>
          <w:lang w:val="hy-AM" w:eastAsia="ru-RU"/>
        </w:rPr>
        <w:t>: 2008</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թվականի</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օգոստոսի</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26-</w:t>
      </w:r>
      <w:r w:rsidRPr="008E5339">
        <w:rPr>
          <w:rFonts w:ascii="GHEA Grapalat" w:eastAsia="Times New Roman" w:hAnsi="GHEA Grapalat" w:cs="GHEA Grapalat"/>
          <w:color w:val="000000"/>
          <w:sz w:val="24"/>
          <w:szCs w:val="24"/>
          <w:shd w:val="clear" w:color="auto" w:fill="FFFFFF"/>
          <w:lang w:val="hy-AM" w:eastAsia="ru-RU"/>
        </w:rPr>
        <w:t>ին</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դիմումատուն</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խնդրել</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է</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հարցաքննել</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փորձագետներ</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Ա</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GHEA Grapalat" w:eastAsia="Times New Roman" w:hAnsi="GHEA Grapalat" w:cs="GHEA Grapalat"/>
          <w:color w:val="000000"/>
          <w:sz w:val="24"/>
          <w:szCs w:val="24"/>
          <w:shd w:val="clear" w:color="auto" w:fill="FFFFFF"/>
          <w:lang w:val="hy-AM" w:eastAsia="ru-RU"/>
        </w:rPr>
        <w:t>Դ</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GHEA Grapalat" w:eastAsia="Times New Roman" w:hAnsi="GHEA Grapalat" w:cs="GHEA Grapalat"/>
          <w:color w:val="000000"/>
          <w:sz w:val="24"/>
          <w:szCs w:val="24"/>
          <w:shd w:val="clear" w:color="auto" w:fill="FFFFFF"/>
          <w:lang w:val="hy-AM" w:eastAsia="ru-RU"/>
        </w:rPr>
        <w:t>ին</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Ս</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GHEA Grapalat" w:eastAsia="Times New Roman" w:hAnsi="GHEA Grapalat" w:cs="GHEA Grapalat"/>
          <w:color w:val="000000"/>
          <w:sz w:val="24"/>
          <w:szCs w:val="24"/>
          <w:shd w:val="clear" w:color="auto" w:fill="FFFFFF"/>
          <w:lang w:val="hy-AM" w:eastAsia="ru-RU"/>
        </w:rPr>
        <w:t>Հ</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GHEA Grapalat" w:eastAsia="Times New Roman" w:hAnsi="GHEA Grapalat" w:cs="GHEA Grapalat"/>
          <w:color w:val="000000"/>
          <w:sz w:val="24"/>
          <w:szCs w:val="24"/>
          <w:shd w:val="clear" w:color="auto" w:fill="FFFFFF"/>
          <w:lang w:val="hy-AM" w:eastAsia="ru-RU"/>
        </w:rPr>
        <w:t>ին</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և</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Ս</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GHEA Grapalat" w:eastAsia="Times New Roman" w:hAnsi="GHEA Grapalat" w:cs="GHEA Grapalat"/>
          <w:color w:val="000000"/>
          <w:sz w:val="24"/>
          <w:szCs w:val="24"/>
          <w:shd w:val="clear" w:color="auto" w:fill="FFFFFF"/>
          <w:lang w:val="hy-AM" w:eastAsia="ru-RU"/>
        </w:rPr>
        <w:t>Ս</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GHEA Grapalat" w:eastAsia="Times New Roman" w:hAnsi="GHEA Grapalat" w:cs="GHEA Grapalat"/>
          <w:color w:val="000000"/>
          <w:sz w:val="24"/>
          <w:szCs w:val="24"/>
          <w:shd w:val="clear" w:color="auto" w:fill="FFFFFF"/>
          <w:lang w:val="hy-AM" w:eastAsia="ru-RU"/>
        </w:rPr>
        <w:t>ին</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pacing w:val="-6"/>
          <w:sz w:val="24"/>
          <w:szCs w:val="24"/>
          <w:shd w:val="clear" w:color="auto" w:fill="FFFFFF"/>
          <w:lang w:val="hy-AM" w:eastAsia="ru-RU"/>
        </w:rPr>
        <w:t>ովքեր</w:t>
      </w:r>
      <w:r w:rsidRPr="008E5339">
        <w:rPr>
          <w:rFonts w:ascii="Calibri" w:eastAsia="Times New Roman" w:hAnsi="Calibri" w:cs="Calibri"/>
          <w:color w:val="000000"/>
          <w:spacing w:val="-6"/>
          <w:sz w:val="24"/>
          <w:szCs w:val="24"/>
          <w:shd w:val="clear" w:color="auto" w:fill="FFFFFF"/>
          <w:lang w:val="hy-AM" w:eastAsia="ru-RU"/>
        </w:rPr>
        <w:t> </w:t>
      </w:r>
      <w:r w:rsidRPr="008E5339">
        <w:rPr>
          <w:rFonts w:ascii="GHEA Grapalat" w:eastAsia="Times New Roman" w:hAnsi="GHEA Grapalat" w:cs="GHEA Grapalat"/>
          <w:color w:val="000000"/>
          <w:spacing w:val="-6"/>
          <w:sz w:val="24"/>
          <w:szCs w:val="24"/>
          <w:shd w:val="clear" w:color="auto" w:fill="FFFFFF"/>
          <w:lang w:val="hy-AM" w:eastAsia="ru-RU"/>
        </w:rPr>
        <w:t>ներկայացրել</w:t>
      </w:r>
      <w:r w:rsidRPr="008E5339">
        <w:rPr>
          <w:rFonts w:ascii="Calibri" w:eastAsia="Times New Roman" w:hAnsi="Calibri" w:cs="Calibri"/>
          <w:color w:val="000000"/>
          <w:spacing w:val="-6"/>
          <w:sz w:val="24"/>
          <w:szCs w:val="24"/>
          <w:shd w:val="clear" w:color="auto" w:fill="FFFFFF"/>
          <w:lang w:val="hy-AM" w:eastAsia="ru-RU"/>
        </w:rPr>
        <w:t> </w:t>
      </w:r>
      <w:r w:rsidRPr="008E5339">
        <w:rPr>
          <w:rFonts w:ascii="GHEA Grapalat" w:eastAsia="Times New Roman" w:hAnsi="GHEA Grapalat" w:cs="GHEA Grapalat"/>
          <w:color w:val="000000"/>
          <w:spacing w:val="-6"/>
          <w:sz w:val="24"/>
          <w:szCs w:val="24"/>
          <w:shd w:val="clear" w:color="auto" w:fill="FFFFFF"/>
          <w:lang w:val="hy-AM" w:eastAsia="ru-RU"/>
        </w:rPr>
        <w:t>էին</w:t>
      </w:r>
      <w:r w:rsidRPr="008E5339">
        <w:rPr>
          <w:rFonts w:ascii="Calibri" w:eastAsia="Times New Roman" w:hAnsi="Calibri" w:cs="Calibri"/>
          <w:color w:val="000000"/>
          <w:spacing w:val="-6"/>
          <w:sz w:val="24"/>
          <w:szCs w:val="24"/>
          <w:shd w:val="clear" w:color="auto" w:fill="FFFFFF"/>
          <w:lang w:val="hy-AM" w:eastAsia="ru-RU"/>
        </w:rPr>
        <w:t> </w:t>
      </w:r>
      <w:r w:rsidRPr="008E5339">
        <w:rPr>
          <w:rFonts w:ascii="GHEA Grapalat" w:eastAsia="Times New Roman" w:hAnsi="GHEA Grapalat" w:cs="GHEA Grapalat"/>
          <w:color w:val="000000"/>
          <w:spacing w:val="-6"/>
          <w:sz w:val="24"/>
          <w:szCs w:val="24"/>
          <w:shd w:val="clear" w:color="auto" w:fill="FFFFFF"/>
          <w:lang w:val="hy-AM" w:eastAsia="ru-RU"/>
        </w:rPr>
        <w:t>հակասական</w:t>
      </w:r>
      <w:r w:rsidRPr="008E5339">
        <w:rPr>
          <w:rFonts w:ascii="Calibri" w:eastAsia="Times New Roman" w:hAnsi="Calibri" w:cs="Calibri"/>
          <w:color w:val="000000"/>
          <w:spacing w:val="-6"/>
          <w:sz w:val="24"/>
          <w:szCs w:val="24"/>
          <w:shd w:val="clear" w:color="auto" w:fill="FFFFFF"/>
          <w:lang w:val="hy-AM" w:eastAsia="ru-RU"/>
        </w:rPr>
        <w:t> </w:t>
      </w:r>
      <w:r w:rsidRPr="008E5339">
        <w:rPr>
          <w:rFonts w:ascii="GHEA Grapalat" w:eastAsia="Times New Roman" w:hAnsi="GHEA Grapalat" w:cs="GHEA Grapalat"/>
          <w:color w:val="000000"/>
          <w:spacing w:val="-6"/>
          <w:sz w:val="24"/>
          <w:szCs w:val="24"/>
          <w:shd w:val="clear" w:color="auto" w:fill="FFFFFF"/>
          <w:lang w:val="hy-AM" w:eastAsia="ru-RU"/>
        </w:rPr>
        <w:t>հետևություններ</w:t>
      </w:r>
      <w:r w:rsidRPr="008E5339">
        <w:rPr>
          <w:rFonts w:ascii="Calibri" w:eastAsia="Times New Roman" w:hAnsi="Calibri" w:cs="Calibri"/>
          <w:color w:val="000000"/>
          <w:spacing w:val="-6"/>
          <w:sz w:val="24"/>
          <w:szCs w:val="24"/>
          <w:shd w:val="clear" w:color="auto" w:fill="FFFFFF"/>
          <w:lang w:val="hy-AM" w:eastAsia="ru-RU"/>
        </w:rPr>
        <w:t> </w:t>
      </w:r>
      <w:r w:rsidRPr="008E5339">
        <w:rPr>
          <w:rFonts w:ascii="GHEA Grapalat" w:eastAsia="Times New Roman" w:hAnsi="GHEA Grapalat" w:cs="GHEA Grapalat"/>
          <w:color w:val="000000"/>
          <w:spacing w:val="-6"/>
          <w:sz w:val="24"/>
          <w:szCs w:val="24"/>
          <w:shd w:val="clear" w:color="auto" w:fill="FFFFFF"/>
          <w:lang w:val="hy-AM" w:eastAsia="ru-RU"/>
        </w:rPr>
        <w:t>պարունակող՝</w:t>
      </w:r>
      <w:r w:rsidRPr="008E5339">
        <w:rPr>
          <w:rFonts w:ascii="Calibri" w:eastAsia="Times New Roman" w:hAnsi="Calibri" w:cs="Calibri"/>
          <w:color w:val="000000"/>
          <w:spacing w:val="-6"/>
          <w:sz w:val="24"/>
          <w:szCs w:val="24"/>
          <w:shd w:val="clear" w:color="auto" w:fill="FFFFFF"/>
          <w:lang w:val="hy-AM" w:eastAsia="ru-RU"/>
        </w:rPr>
        <w:t> </w:t>
      </w:r>
      <w:r w:rsidRPr="008E5339">
        <w:rPr>
          <w:rFonts w:ascii="GHEA Grapalat" w:eastAsia="Times New Roman" w:hAnsi="GHEA Grapalat" w:cs="GHEA Grapalat"/>
          <w:color w:val="000000"/>
          <w:spacing w:val="-6"/>
          <w:sz w:val="24"/>
          <w:szCs w:val="24"/>
          <w:shd w:val="clear" w:color="auto" w:fill="FFFFFF"/>
          <w:lang w:val="hy-AM" w:eastAsia="ru-RU"/>
        </w:rPr>
        <w:t>թիվ</w:t>
      </w:r>
      <w:r w:rsidRPr="008E5339">
        <w:rPr>
          <w:rFonts w:ascii="Calibri" w:eastAsia="Times New Roman" w:hAnsi="Calibri" w:cs="Calibri"/>
          <w:color w:val="000000"/>
          <w:spacing w:val="-6"/>
          <w:sz w:val="24"/>
          <w:szCs w:val="24"/>
          <w:shd w:val="clear" w:color="auto" w:fill="FFFFFF"/>
          <w:lang w:val="hy-AM" w:eastAsia="ru-RU"/>
        </w:rPr>
        <w:t> </w:t>
      </w:r>
      <w:r w:rsidRPr="008E5339">
        <w:rPr>
          <w:rFonts w:ascii="GHEA Grapalat" w:eastAsia="Times New Roman" w:hAnsi="GHEA Grapalat" w:cs="Times New Roman"/>
          <w:color w:val="000000"/>
          <w:spacing w:val="-6"/>
          <w:sz w:val="24"/>
          <w:szCs w:val="24"/>
          <w:shd w:val="clear" w:color="auto" w:fill="FFFFFF"/>
          <w:lang w:val="hy-AM" w:eastAsia="ru-RU"/>
        </w:rPr>
        <w:t>22-23</w:t>
      </w:r>
      <w:r w:rsidRPr="008E5339">
        <w:rPr>
          <w:rFonts w:ascii="Calibri" w:eastAsia="Times New Roman" w:hAnsi="Calibri" w:cs="Calibri"/>
          <w:color w:val="000000"/>
          <w:spacing w:val="-6"/>
          <w:sz w:val="24"/>
          <w:szCs w:val="24"/>
          <w:shd w:val="clear" w:color="auto" w:fill="FFFFFF"/>
          <w:lang w:val="hy-AM" w:eastAsia="ru-RU"/>
        </w:rPr>
        <w:t> </w:t>
      </w:r>
      <w:r w:rsidRPr="008E5339">
        <w:rPr>
          <w:rFonts w:ascii="GHEA Grapalat" w:eastAsia="Times New Roman" w:hAnsi="GHEA Grapalat" w:cs="GHEA Grapalat"/>
          <w:color w:val="000000"/>
          <w:spacing w:val="-6"/>
          <w:sz w:val="24"/>
          <w:szCs w:val="24"/>
          <w:shd w:val="clear" w:color="auto" w:fill="FFFFFF"/>
          <w:lang w:val="hy-AM" w:eastAsia="ru-RU"/>
        </w:rPr>
        <w:t>և</w:t>
      </w:r>
      <w:r w:rsidRPr="008E5339">
        <w:rPr>
          <w:rFonts w:ascii="Calibri" w:eastAsia="Times New Roman" w:hAnsi="Calibri" w:cs="Calibri"/>
          <w:color w:val="000000"/>
          <w:spacing w:val="-6"/>
          <w:sz w:val="24"/>
          <w:szCs w:val="24"/>
          <w:shd w:val="clear" w:color="auto" w:fill="FFFFFF"/>
          <w:lang w:val="hy-AM" w:eastAsia="ru-RU"/>
        </w:rPr>
        <w:t> </w:t>
      </w:r>
      <w:r w:rsidRPr="008E5339">
        <w:rPr>
          <w:rFonts w:ascii="GHEA Grapalat" w:eastAsia="Times New Roman" w:hAnsi="GHEA Grapalat" w:cs="GHEA Grapalat"/>
          <w:color w:val="000000"/>
          <w:spacing w:val="-6"/>
          <w:sz w:val="24"/>
          <w:szCs w:val="24"/>
          <w:shd w:val="clear" w:color="auto" w:fill="FFFFFF"/>
          <w:lang w:val="hy-AM" w:eastAsia="ru-RU"/>
        </w:rPr>
        <w:t>թիվ</w:t>
      </w:r>
      <w:r w:rsidRPr="008E5339">
        <w:rPr>
          <w:rFonts w:ascii="Calibri" w:eastAsia="Times New Roman" w:hAnsi="Calibri" w:cs="Calibri"/>
          <w:color w:val="000000"/>
          <w:spacing w:val="-6"/>
          <w:sz w:val="24"/>
          <w:szCs w:val="24"/>
          <w:shd w:val="clear" w:color="auto" w:fill="FFFFFF"/>
          <w:lang w:val="hy-AM" w:eastAsia="ru-RU"/>
        </w:rPr>
        <w:t> </w:t>
      </w:r>
      <w:r w:rsidRPr="008E5339">
        <w:rPr>
          <w:rFonts w:ascii="GHEA Grapalat" w:eastAsia="Times New Roman" w:hAnsi="GHEA Grapalat" w:cs="Times New Roman"/>
          <w:color w:val="000000"/>
          <w:spacing w:val="-6"/>
          <w:sz w:val="24"/>
          <w:szCs w:val="24"/>
          <w:shd w:val="clear" w:color="auto" w:fill="FFFFFF"/>
          <w:lang w:val="hy-AM" w:eastAsia="ru-RU"/>
        </w:rPr>
        <w:t>13/525/K-13/526/K</w:t>
      </w:r>
      <w:r w:rsidRPr="008E5339">
        <w:rPr>
          <w:rFonts w:ascii="Calibri" w:eastAsia="Times New Roman" w:hAnsi="Calibri" w:cs="Calibri"/>
          <w:color w:val="000000"/>
          <w:spacing w:val="-6"/>
          <w:sz w:val="24"/>
          <w:szCs w:val="24"/>
          <w:shd w:val="clear" w:color="auto" w:fill="FFFFFF"/>
          <w:lang w:val="hy-AM" w:eastAsia="ru-RU"/>
        </w:rPr>
        <w:t> </w:t>
      </w:r>
      <w:r w:rsidRPr="008E5339">
        <w:rPr>
          <w:rFonts w:ascii="GHEA Grapalat" w:eastAsia="Times New Roman" w:hAnsi="GHEA Grapalat" w:cs="GHEA Grapalat"/>
          <w:color w:val="000000"/>
          <w:spacing w:val="-6"/>
          <w:sz w:val="24"/>
          <w:szCs w:val="24"/>
          <w:shd w:val="clear" w:color="auto" w:fill="FFFFFF"/>
          <w:lang w:val="hy-AM" w:eastAsia="ru-RU"/>
        </w:rPr>
        <w:t>եզրակացությունները</w:t>
      </w:r>
      <w:r w:rsidRPr="008E5339">
        <w:rPr>
          <w:rFonts w:ascii="GHEA Grapalat" w:eastAsia="Times New Roman" w:hAnsi="GHEA Grapalat" w:cs="Times New Roman"/>
          <w:color w:val="000000"/>
          <w:spacing w:val="-6"/>
          <w:sz w:val="24"/>
          <w:szCs w:val="24"/>
          <w:shd w:val="clear" w:color="auto" w:fill="FFFFFF"/>
          <w:lang w:val="hy-AM" w:eastAsia="ru-RU"/>
        </w:rPr>
        <w:t>: 2008</w:t>
      </w:r>
      <w:r w:rsidRPr="008E5339">
        <w:rPr>
          <w:rFonts w:ascii="Calibri" w:eastAsia="Times New Roman" w:hAnsi="Calibri" w:cs="Calibri"/>
          <w:color w:val="000000"/>
          <w:spacing w:val="-6"/>
          <w:sz w:val="24"/>
          <w:szCs w:val="24"/>
          <w:shd w:val="clear" w:color="auto" w:fill="FFFFFF"/>
          <w:lang w:val="hy-AM" w:eastAsia="ru-RU"/>
        </w:rPr>
        <w:t> </w:t>
      </w:r>
      <w:r w:rsidRPr="008E5339">
        <w:rPr>
          <w:rFonts w:ascii="GHEA Grapalat" w:eastAsia="Times New Roman" w:hAnsi="GHEA Grapalat" w:cs="GHEA Grapalat"/>
          <w:color w:val="000000"/>
          <w:spacing w:val="-6"/>
          <w:sz w:val="24"/>
          <w:szCs w:val="24"/>
          <w:shd w:val="clear" w:color="auto" w:fill="FFFFFF"/>
          <w:lang w:val="hy-AM" w:eastAsia="ru-RU"/>
        </w:rPr>
        <w:t>թվականի</w:t>
      </w:r>
      <w:r w:rsidRPr="008E5339">
        <w:rPr>
          <w:rFonts w:ascii="Calibri" w:eastAsia="Times New Roman" w:hAnsi="Calibri" w:cs="Calibri"/>
          <w:color w:val="000000"/>
          <w:spacing w:val="-6"/>
          <w:sz w:val="24"/>
          <w:szCs w:val="24"/>
          <w:shd w:val="clear" w:color="auto" w:fill="FFFFFF"/>
          <w:lang w:val="hy-AM" w:eastAsia="ru-RU"/>
        </w:rPr>
        <w:t> </w:t>
      </w:r>
      <w:r w:rsidRPr="008E5339">
        <w:rPr>
          <w:rFonts w:ascii="GHEA Grapalat" w:eastAsia="Times New Roman" w:hAnsi="GHEA Grapalat" w:cs="GHEA Grapalat"/>
          <w:color w:val="000000"/>
          <w:spacing w:val="-6"/>
          <w:sz w:val="24"/>
          <w:szCs w:val="24"/>
          <w:shd w:val="clear" w:color="auto" w:fill="FFFFFF"/>
          <w:lang w:val="hy-AM" w:eastAsia="ru-RU"/>
        </w:rPr>
        <w:t>սեպտեմբերի</w:t>
      </w:r>
      <w:r w:rsidRPr="008E5339">
        <w:rPr>
          <w:rFonts w:ascii="Calibri" w:eastAsia="Times New Roman" w:hAnsi="Calibri" w:cs="Calibri"/>
          <w:color w:val="000000"/>
          <w:spacing w:val="-6"/>
          <w:sz w:val="24"/>
          <w:szCs w:val="24"/>
          <w:shd w:val="clear" w:color="auto" w:fill="FFFFFF"/>
          <w:lang w:val="hy-AM" w:eastAsia="ru-RU"/>
        </w:rPr>
        <w:t> </w:t>
      </w:r>
      <w:r w:rsidRPr="008E5339">
        <w:rPr>
          <w:rFonts w:ascii="GHEA Grapalat" w:eastAsia="Times New Roman" w:hAnsi="GHEA Grapalat" w:cs="Times New Roman"/>
          <w:color w:val="000000"/>
          <w:spacing w:val="-6"/>
          <w:sz w:val="24"/>
          <w:szCs w:val="24"/>
          <w:shd w:val="clear" w:color="auto" w:fill="FFFFFF"/>
          <w:lang w:val="hy-AM" w:eastAsia="ru-RU"/>
        </w:rPr>
        <w:t>25-</w:t>
      </w:r>
      <w:r w:rsidRPr="008E5339">
        <w:rPr>
          <w:rFonts w:ascii="GHEA Grapalat" w:eastAsia="Times New Roman" w:hAnsi="GHEA Grapalat" w:cs="GHEA Grapalat"/>
          <w:color w:val="000000"/>
          <w:spacing w:val="-6"/>
          <w:sz w:val="24"/>
          <w:szCs w:val="24"/>
          <w:shd w:val="clear" w:color="auto" w:fill="FFFFFF"/>
          <w:lang w:val="hy-AM" w:eastAsia="ru-RU"/>
        </w:rPr>
        <w:t>ին</w:t>
      </w:r>
      <w:r w:rsidRPr="008E5339">
        <w:rPr>
          <w:rFonts w:ascii="Calibri" w:eastAsia="Times New Roman" w:hAnsi="Calibri" w:cs="Calibri"/>
          <w:color w:val="000000"/>
          <w:spacing w:val="-6"/>
          <w:sz w:val="24"/>
          <w:szCs w:val="24"/>
          <w:shd w:val="clear" w:color="auto" w:fill="FFFFFF"/>
          <w:lang w:val="hy-AM" w:eastAsia="ru-RU"/>
        </w:rPr>
        <w:t> </w:t>
      </w:r>
      <w:r w:rsidRPr="008E5339">
        <w:rPr>
          <w:rFonts w:ascii="GHEA Grapalat" w:eastAsia="Times New Roman" w:hAnsi="GHEA Grapalat" w:cs="GHEA Grapalat"/>
          <w:color w:val="000000"/>
          <w:spacing w:val="-6"/>
          <w:sz w:val="24"/>
          <w:szCs w:val="24"/>
          <w:shd w:val="clear" w:color="auto" w:fill="FFFFFF"/>
          <w:lang w:val="hy-AM" w:eastAsia="ru-RU"/>
        </w:rPr>
        <w:t>Քրեական</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դատարանը</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կողմերին</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տրամադրել</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է</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այդ</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առնչությամբ</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փաստարկներ</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ներկայացնելու</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հավասար</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հնարավորություններ</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Դիմումատուի</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ներկայացուցիչը</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պահանջել</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է</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միայն</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պարզաբան</w:t>
      </w:r>
      <w:r w:rsidRPr="008E5339">
        <w:rPr>
          <w:rFonts w:ascii="GHEA Grapalat" w:eastAsia="Times New Roman" w:hAnsi="GHEA Grapalat" w:cs="Times New Roman"/>
          <w:color w:val="000000"/>
          <w:sz w:val="24"/>
          <w:szCs w:val="24"/>
          <w:shd w:val="clear" w:color="auto" w:fill="FFFFFF"/>
          <w:lang w:val="hy-AM" w:eastAsia="ru-RU"/>
        </w:rPr>
        <w:t>ել</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փորձագիտական</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եզրակացությունների</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միջև</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եղած</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հակասությունները։</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Այդ</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հարցն</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արդեն</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ուսումնասիրվել</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և</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պարզաբանվել</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էր</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դիակի</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լրացուցիչ</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հետմահու</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դատաբժշկական</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փորձաքննության</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թիվ</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14/630/K</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և</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13/631/K</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եզրակացություններում</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Այդ</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եզրակացություններից</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պարզ</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էր</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դառնում</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որ</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նա</w:t>
      </w:r>
      <w:r w:rsidRPr="008E5339">
        <w:rPr>
          <w:rFonts w:ascii="GHEA Grapalat" w:eastAsia="Times New Roman" w:hAnsi="GHEA Grapalat" w:cs="Times New Roman"/>
          <w:color w:val="000000"/>
          <w:sz w:val="24"/>
          <w:szCs w:val="24"/>
          <w:shd w:val="clear" w:color="auto" w:fill="FFFFFF"/>
          <w:lang w:val="hy-AM" w:eastAsia="ru-RU"/>
        </w:rPr>
        <w:t>խորդ</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թիվ</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22-23</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եզրակացությունների</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եզրահանգումները</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ներհատուկ</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են</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նաև</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ֆոսֆորօրգանական</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միացություններով</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թունավորմանը։</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Ուստի</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դիմումատուի</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միջնորդությամբ</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ներկայացված</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ոչ</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մի</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հարց</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չէր</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մնացել</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անպատասխան</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Փորձագետներ</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Գ</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GHEA Grapalat" w:eastAsia="Times New Roman" w:hAnsi="GHEA Grapalat" w:cs="GHEA Grapalat"/>
          <w:color w:val="000000"/>
          <w:sz w:val="24"/>
          <w:szCs w:val="24"/>
          <w:shd w:val="clear" w:color="auto" w:fill="FFFFFF"/>
          <w:lang w:val="hy-AM" w:eastAsia="ru-RU"/>
        </w:rPr>
        <w:t>Հ</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GHEA Grapalat" w:eastAsia="Times New Roman" w:hAnsi="GHEA Grapalat" w:cs="GHEA Grapalat"/>
          <w:color w:val="000000"/>
          <w:sz w:val="24"/>
          <w:szCs w:val="24"/>
          <w:shd w:val="clear" w:color="auto" w:fill="FFFFFF"/>
          <w:lang w:val="hy-AM" w:eastAsia="ru-RU"/>
        </w:rPr>
        <w:t>ն</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Ա</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GHEA Grapalat" w:eastAsia="Times New Roman" w:hAnsi="GHEA Grapalat" w:cs="GHEA Grapalat"/>
          <w:color w:val="000000"/>
          <w:sz w:val="24"/>
          <w:szCs w:val="24"/>
          <w:shd w:val="clear" w:color="auto" w:fill="FFFFFF"/>
          <w:lang w:val="hy-AM" w:eastAsia="ru-RU"/>
        </w:rPr>
        <w:t>Դ</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GHEA Grapalat" w:eastAsia="Times New Roman" w:hAnsi="GHEA Grapalat" w:cs="GHEA Grapalat"/>
          <w:color w:val="000000"/>
          <w:sz w:val="24"/>
          <w:szCs w:val="24"/>
          <w:shd w:val="clear" w:color="auto" w:fill="FFFFFF"/>
          <w:lang w:val="hy-AM" w:eastAsia="ru-RU"/>
        </w:rPr>
        <w:t>Ն</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և</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Մ</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GHEA Grapalat" w:eastAsia="Times New Roman" w:hAnsi="GHEA Grapalat" w:cs="GHEA Grapalat"/>
          <w:color w:val="000000"/>
          <w:sz w:val="24"/>
          <w:szCs w:val="24"/>
          <w:shd w:val="clear" w:color="auto" w:fill="FFFFFF"/>
          <w:lang w:val="hy-AM" w:eastAsia="ru-RU"/>
        </w:rPr>
        <w:t>Ա</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GHEA Grapalat" w:eastAsia="Times New Roman" w:hAnsi="GHEA Grapalat" w:cs="GHEA Grapalat"/>
          <w:color w:val="000000"/>
          <w:sz w:val="24"/>
          <w:szCs w:val="24"/>
          <w:shd w:val="clear" w:color="auto" w:fill="FFFFFF"/>
          <w:lang w:val="hy-AM" w:eastAsia="ru-RU"/>
        </w:rPr>
        <w:t>ն</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ովքեր</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տվել</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էին</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վերը</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նշված</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ցուցմունքները,</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մինչդատական</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վարույթի</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ընթացքում</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նույնպես</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հարցաքննվել</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էին</w:t>
      </w:r>
      <w:r w:rsidRPr="008E5339">
        <w:rPr>
          <w:rFonts w:ascii="GHEA Grapalat" w:eastAsia="Times New Roman" w:hAnsi="GHEA Grapalat" w:cs="Times New Roman"/>
          <w:color w:val="000000"/>
          <w:sz w:val="24"/>
          <w:szCs w:val="24"/>
          <w:shd w:val="clear" w:color="auto" w:fill="FFFFFF"/>
          <w:lang w:val="hy-AM" w:eastAsia="ru-RU"/>
        </w:rPr>
        <w:t>:</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37.</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Կառավարությունն ընդգծել է, որ դատական քննության ընթացքում փորձագետներին հարցաքննելը գործի ելքի վրա որևէ ազդեցություն չէր կարող ունենալ: Ավելին, դիակի լրացուցիչ հետմահու դատաբժշկական փորձաքննությամբ հստակորեն պարզաբանվել էին առաջին փորձագետի եզրակացությունների արդյունքները: Ուստի փորձագետների՝ դատարան չներկայանալն ունեցել է հիմնավոր պատճառներ: Քրեական դատարանի դատավճիռը հիմնված է եղել մի շարք տարբեր ապացույցների վրա: Ուստի դիմումատուի դատապարտումը բացառապես կամ վճռորոշ չափով հիմնված չիեղել կոնկրետ այն փորձագիտական եզրակացությունների վրա, որոնցով նույնիսկ հնարավոր չի եղել ապացուցել, թե ով է թունավորել տուժողներին։ Սույն գործով եղել են նաև պաշտպանության կողմին խոչընդոտող պայմաններում աշխատելու դիմաց փոխհատուցում տրամադրելու բավարար հակակշռող գործոններ։ Գործի քննության շրջանակներում նշանակված առերեսման ընթացքում դիմումատուն ունեցել է հնարավորություն հարցաքննելու այն վկաներին, ովքեր նախկինում ցուցմունքներ էին տվել իր դեմ, բայց նա համաձայնել է չվիճարկել նրանց ցուցմունքների հավաստիությունը։</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2.</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Դատարանի գնահատականը</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b/>
          <w:bCs/>
          <w:color w:val="000000"/>
          <w:sz w:val="24"/>
          <w:szCs w:val="24"/>
          <w:shd w:val="clear" w:color="auto" w:fill="FFFFFF"/>
          <w:lang w:val="hy-AM" w:eastAsia="ru-RU"/>
        </w:rPr>
        <w:lastRenderedPageBreak/>
        <w:t>ա)</w:t>
      </w:r>
      <w:r w:rsidRPr="008E5339">
        <w:rPr>
          <w:rFonts w:ascii="Calibri" w:eastAsia="Times New Roman" w:hAnsi="Calibri" w:cs="Calibri"/>
          <w:b/>
          <w:bCs/>
          <w:color w:val="000000"/>
          <w:sz w:val="24"/>
          <w:szCs w:val="24"/>
          <w:shd w:val="clear" w:color="auto" w:fill="FFFFFF"/>
          <w:lang w:val="hy-AM" w:eastAsia="ru-RU"/>
        </w:rPr>
        <w:t> </w:t>
      </w:r>
      <w:r w:rsidRPr="008E5339">
        <w:rPr>
          <w:rFonts w:ascii="GHEA Grapalat" w:eastAsia="Times New Roman" w:hAnsi="GHEA Grapalat" w:cs="Times New Roman"/>
          <w:b/>
          <w:bCs/>
          <w:color w:val="000000"/>
          <w:sz w:val="24"/>
          <w:szCs w:val="24"/>
          <w:shd w:val="clear" w:color="auto" w:fill="FFFFFF"/>
          <w:lang w:val="hy-AM" w:eastAsia="ru-RU"/>
        </w:rPr>
        <w:t>Ընդհանուր սկզբունքները</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38.</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Դատարանը կրկին նշում է, որ 6-րդ հոդվածի կիրառությունը կարգավորող հիմնական սկզբունքը արդարացիությունն է։ Արդար դատաքննության իրավունքը ժողովրդավարական հասարակության մեջ այնքան կարևոր տեղ է զբաղեցնում, որ Կոնվեցիայի 6-րդ հոդվածի 1-ին կետով սահմանված երաշխիքները նեղ իմաստով մեկնաբանելը որևէ կերպ չի կարող արդարացվել (տե՛ս</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i/>
          <w:iCs/>
          <w:color w:val="000000"/>
          <w:sz w:val="24"/>
          <w:szCs w:val="24"/>
          <w:shd w:val="clear" w:color="auto" w:fill="FFFFFF"/>
          <w:lang w:val="hy-AM" w:eastAsia="ru-RU"/>
        </w:rPr>
        <w:t>Մորեյրա դե Ազեվեդոն ընդդեմ Պորտուգալիայի</w:t>
      </w:r>
      <w:r w:rsidRPr="008E5339">
        <w:rPr>
          <w:rFonts w:ascii="Calibri" w:eastAsia="Times New Roman" w:hAnsi="Calibri" w:cs="Calibri"/>
          <w:i/>
          <w:iCs/>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GHEA Grapalat" w:eastAsia="Times New Roman" w:hAnsi="GHEA Grapalat" w:cs="Times New Roman"/>
          <w:i/>
          <w:iCs/>
          <w:color w:val="000000"/>
          <w:sz w:val="24"/>
          <w:szCs w:val="24"/>
          <w:shd w:val="clear" w:color="auto" w:fill="FFFFFF"/>
          <w:lang w:val="hy-AM" w:eastAsia="ru-RU"/>
        </w:rPr>
        <w:t>Moreira de Azevedo v. Portugal</w:t>
      </w:r>
      <w:r w:rsidRPr="008E5339">
        <w:rPr>
          <w:rFonts w:ascii="GHEA Grapalat" w:eastAsia="Times New Roman" w:hAnsi="GHEA Grapalat" w:cs="Times New Roman"/>
          <w:color w:val="000000"/>
          <w:sz w:val="24"/>
          <w:szCs w:val="24"/>
          <w:shd w:val="clear" w:color="auto" w:fill="FFFFFF"/>
          <w:lang w:val="hy-AM" w:eastAsia="ru-RU"/>
        </w:rPr>
        <w:t>], 1990 թվականի հոկտեմբերի 23, § 66, շարք Ա, թիվ 189, և Գրեգաչեվիչն ընդդեմ Խորվաթիայի [</w:t>
      </w:r>
      <w:r w:rsidRPr="008E5339">
        <w:rPr>
          <w:rFonts w:ascii="GHEA Grapalat" w:eastAsia="Times New Roman" w:hAnsi="GHEA Grapalat" w:cs="Times New Roman"/>
          <w:i/>
          <w:iCs/>
          <w:color w:val="000000"/>
          <w:sz w:val="24"/>
          <w:szCs w:val="24"/>
          <w:shd w:val="clear" w:color="auto" w:fill="FFFFFF"/>
          <w:lang w:val="hy-AM" w:eastAsia="ru-RU"/>
        </w:rPr>
        <w:t>Gregačević v. Croatia</w:t>
      </w:r>
      <w:r w:rsidRPr="008E5339">
        <w:rPr>
          <w:rFonts w:ascii="GHEA Grapalat" w:eastAsia="Times New Roman" w:hAnsi="GHEA Grapalat" w:cs="Times New Roman"/>
          <w:color w:val="000000"/>
          <w:sz w:val="24"/>
          <w:szCs w:val="24"/>
          <w:shd w:val="clear" w:color="auto" w:fill="FFFFFF"/>
          <w:lang w:val="hy-AM" w:eastAsia="ru-RU"/>
        </w:rPr>
        <w:t>], թիվ 58331/09, § 49, 2012 թվականի հուլիսի 10)։</w:t>
      </w:r>
    </w:p>
    <w:p w:rsidR="008E5339" w:rsidRPr="008E5339" w:rsidRDefault="008E5339" w:rsidP="008E5339">
      <w:pPr>
        <w:spacing w:after="0" w:line="240" w:lineRule="auto"/>
        <w:ind w:firstLine="375"/>
        <w:rPr>
          <w:rFonts w:ascii="Arial Unicode" w:eastAsia="Times New Roman" w:hAnsi="Arial Unicode" w:cs="Times New Roman"/>
          <w:color w:val="000000"/>
          <w:sz w:val="32"/>
          <w:szCs w:val="32"/>
          <w:shd w:val="clear" w:color="auto" w:fill="FFFFFF"/>
          <w:lang w:val="hy-AM" w:eastAsia="ru-RU"/>
        </w:rPr>
      </w:pPr>
      <w:r w:rsidRPr="008E5339">
        <w:rPr>
          <w:rFonts w:ascii="GHEA Grapalat" w:eastAsia="Times New Roman" w:hAnsi="GHEA Grapalat" w:cs="Times New Roman"/>
          <w:color w:val="000000"/>
          <w:sz w:val="32"/>
          <w:szCs w:val="32"/>
          <w:shd w:val="clear" w:color="auto" w:fill="FFFFFF"/>
          <w:lang w:val="hy-AM" w:eastAsia="ru-RU"/>
        </w:rPr>
        <w:t>39.</w:t>
      </w:r>
      <w:r w:rsidRPr="008E5339">
        <w:rPr>
          <w:rFonts w:ascii="Calibri" w:eastAsia="Times New Roman" w:hAnsi="Calibri" w:cs="Calibri"/>
          <w:color w:val="000000"/>
          <w:sz w:val="32"/>
          <w:szCs w:val="32"/>
          <w:shd w:val="clear" w:color="auto" w:fill="FFFFFF"/>
          <w:lang w:val="hy-AM" w:eastAsia="ru-RU"/>
        </w:rPr>
        <w:t> </w:t>
      </w:r>
      <w:r w:rsidRPr="008E5339">
        <w:rPr>
          <w:rFonts w:ascii="GHEA Grapalat" w:eastAsia="Times New Roman" w:hAnsi="GHEA Grapalat" w:cs="Times New Roman"/>
          <w:color w:val="000000"/>
          <w:sz w:val="32"/>
          <w:szCs w:val="32"/>
          <w:shd w:val="clear" w:color="auto" w:fill="FFFFFF"/>
          <w:lang w:val="hy-AM" w:eastAsia="ru-RU"/>
        </w:rPr>
        <w:t xml:space="preserve">Դատարանն այնուհետև վերահաստատում է, որ որպես ընդհանուր կանոն, 6-րդ հոդվածի 1-ին կետով և 3-րդ կետի «դ» ենթակետով պահանջվում է, որ մեղադրյալին </w:t>
      </w:r>
      <w:r w:rsidRPr="008E5339">
        <w:rPr>
          <w:rFonts w:ascii="GHEA Grapalat" w:eastAsia="Times New Roman" w:hAnsi="GHEA Grapalat" w:cs="Times New Roman"/>
          <w:color w:val="000000"/>
          <w:sz w:val="32"/>
          <w:szCs w:val="32"/>
          <w:highlight w:val="yellow"/>
          <w:shd w:val="clear" w:color="auto" w:fill="FFFFFF"/>
          <w:lang w:val="hy-AM" w:eastAsia="ru-RU"/>
        </w:rPr>
        <w:t>համարժեք</w:t>
      </w:r>
      <w:r w:rsidRPr="008E5339">
        <w:rPr>
          <w:rFonts w:ascii="GHEA Grapalat" w:eastAsia="Times New Roman" w:hAnsi="GHEA Grapalat" w:cs="Times New Roman"/>
          <w:color w:val="000000"/>
          <w:sz w:val="32"/>
          <w:szCs w:val="32"/>
          <w:shd w:val="clear" w:color="auto" w:fill="FFFFFF"/>
          <w:lang w:val="hy-AM" w:eastAsia="ru-RU"/>
        </w:rPr>
        <w:t xml:space="preserve"> և </w:t>
      </w:r>
      <w:r w:rsidRPr="008E5339">
        <w:rPr>
          <w:rFonts w:ascii="GHEA Grapalat" w:eastAsia="Times New Roman" w:hAnsi="GHEA Grapalat" w:cs="Times New Roman"/>
          <w:color w:val="000000"/>
          <w:sz w:val="32"/>
          <w:szCs w:val="32"/>
          <w:highlight w:val="yellow"/>
          <w:shd w:val="clear" w:color="auto" w:fill="FFFFFF"/>
          <w:lang w:val="hy-AM" w:eastAsia="ru-RU"/>
        </w:rPr>
        <w:t>պատշաճ</w:t>
      </w:r>
      <w:r w:rsidRPr="008E5339">
        <w:rPr>
          <w:rFonts w:ascii="GHEA Grapalat" w:eastAsia="Times New Roman" w:hAnsi="GHEA Grapalat" w:cs="Times New Roman"/>
          <w:color w:val="000000"/>
          <w:sz w:val="32"/>
          <w:szCs w:val="32"/>
          <w:shd w:val="clear" w:color="auto" w:fill="FFFFFF"/>
          <w:lang w:val="hy-AM" w:eastAsia="ru-RU"/>
        </w:rPr>
        <w:t xml:space="preserve"> հնարավորություն տրվի՝ վկայի կողմից իր դեմ տրված ցուցմունքը վիճարկելու կամ նրան հարցաքննելու՝ վկայի կողմից </w:t>
      </w:r>
      <w:r w:rsidRPr="008E5339">
        <w:rPr>
          <w:rFonts w:ascii="GHEA Grapalat" w:eastAsia="Times New Roman" w:hAnsi="GHEA Grapalat" w:cs="Times New Roman"/>
          <w:color w:val="000000"/>
          <w:sz w:val="32"/>
          <w:szCs w:val="32"/>
          <w:highlight w:val="cyan"/>
          <w:shd w:val="clear" w:color="auto" w:fill="FFFFFF"/>
          <w:lang w:val="hy-AM" w:eastAsia="ru-RU"/>
        </w:rPr>
        <w:t>ցուցմունք տալու ժամանակ</w:t>
      </w:r>
      <w:r w:rsidRPr="008E5339">
        <w:rPr>
          <w:rFonts w:ascii="GHEA Grapalat" w:eastAsia="Times New Roman" w:hAnsi="GHEA Grapalat" w:cs="Times New Roman"/>
          <w:color w:val="000000"/>
          <w:sz w:val="32"/>
          <w:szCs w:val="32"/>
          <w:shd w:val="clear" w:color="auto" w:fill="FFFFFF"/>
          <w:lang w:val="hy-AM" w:eastAsia="ru-RU"/>
        </w:rPr>
        <w:t xml:space="preserve"> կամ </w:t>
      </w:r>
      <w:r w:rsidRPr="008E5339">
        <w:rPr>
          <w:rFonts w:ascii="GHEA Grapalat" w:eastAsia="Times New Roman" w:hAnsi="GHEA Grapalat" w:cs="Times New Roman"/>
          <w:color w:val="000000"/>
          <w:sz w:val="32"/>
          <w:szCs w:val="32"/>
          <w:highlight w:val="cyan"/>
          <w:shd w:val="clear" w:color="auto" w:fill="FFFFFF"/>
          <w:lang w:val="hy-AM" w:eastAsia="ru-RU"/>
        </w:rPr>
        <w:t>հետագա</w:t>
      </w:r>
      <w:r w:rsidRPr="008E5339">
        <w:rPr>
          <w:rFonts w:ascii="GHEA Grapalat" w:eastAsia="Times New Roman" w:hAnsi="GHEA Grapalat" w:cs="Times New Roman"/>
          <w:color w:val="000000"/>
          <w:sz w:val="32"/>
          <w:szCs w:val="32"/>
          <w:shd w:val="clear" w:color="auto" w:fill="FFFFFF"/>
          <w:lang w:val="hy-AM" w:eastAsia="ru-RU"/>
        </w:rPr>
        <w:t xml:space="preserve"> փուլերում (տե՛ս</w:t>
      </w:r>
      <w:r w:rsidRPr="008E5339">
        <w:rPr>
          <w:rFonts w:ascii="Calibri" w:eastAsia="Times New Roman" w:hAnsi="Calibri" w:cs="Calibri"/>
          <w:color w:val="000000"/>
          <w:sz w:val="32"/>
          <w:szCs w:val="32"/>
          <w:shd w:val="clear" w:color="auto" w:fill="FFFFFF"/>
          <w:lang w:val="hy-AM" w:eastAsia="ru-RU"/>
        </w:rPr>
        <w:t> </w:t>
      </w:r>
      <w:r w:rsidRPr="008E5339">
        <w:rPr>
          <w:rFonts w:ascii="GHEA Grapalat" w:eastAsia="Times New Roman" w:hAnsi="GHEA Grapalat" w:cs="Times New Roman"/>
          <w:i/>
          <w:iCs/>
          <w:color w:val="000000"/>
          <w:sz w:val="32"/>
          <w:szCs w:val="32"/>
          <w:shd w:val="clear" w:color="auto" w:fill="FFFFFF"/>
          <w:lang w:val="hy-AM" w:eastAsia="ru-RU"/>
        </w:rPr>
        <w:t>Ալ-Խավաջան և Թահերին ընդդեմ Միացյալ Թագավորության</w:t>
      </w:r>
      <w:r w:rsidRPr="008E5339">
        <w:rPr>
          <w:rFonts w:ascii="Calibri" w:eastAsia="Times New Roman" w:hAnsi="Calibri" w:cs="Calibri"/>
          <w:color w:val="000000"/>
          <w:sz w:val="32"/>
          <w:szCs w:val="32"/>
          <w:shd w:val="clear" w:color="auto" w:fill="FFFFFF"/>
          <w:lang w:val="hy-AM" w:eastAsia="ru-RU"/>
        </w:rPr>
        <w:t> </w:t>
      </w:r>
      <w:r w:rsidRPr="008E5339">
        <w:rPr>
          <w:rFonts w:ascii="GHEA Grapalat" w:eastAsia="Times New Roman" w:hAnsi="GHEA Grapalat" w:cs="Times New Roman"/>
          <w:color w:val="000000"/>
          <w:sz w:val="32"/>
          <w:szCs w:val="32"/>
          <w:shd w:val="clear" w:color="auto" w:fill="FFFFFF"/>
          <w:lang w:val="hy-AM" w:eastAsia="ru-RU"/>
        </w:rPr>
        <w:t>[</w:t>
      </w:r>
      <w:r w:rsidRPr="008E5339">
        <w:rPr>
          <w:rFonts w:ascii="GHEA Grapalat" w:eastAsia="Times New Roman" w:hAnsi="GHEA Grapalat" w:cs="GHEA Grapalat"/>
          <w:color w:val="000000"/>
          <w:sz w:val="32"/>
          <w:szCs w:val="32"/>
          <w:shd w:val="clear" w:color="auto" w:fill="FFFFFF"/>
          <w:lang w:val="hy-AM" w:eastAsia="ru-RU"/>
        </w:rPr>
        <w:t>ՄՊ</w:t>
      </w:r>
      <w:r w:rsidRPr="008E5339">
        <w:rPr>
          <w:rFonts w:ascii="GHEA Grapalat" w:eastAsia="Times New Roman" w:hAnsi="GHEA Grapalat" w:cs="Times New Roman"/>
          <w:color w:val="000000"/>
          <w:sz w:val="32"/>
          <w:szCs w:val="32"/>
          <w:shd w:val="clear" w:color="auto" w:fill="FFFFFF"/>
          <w:lang w:val="hy-AM" w:eastAsia="ru-RU"/>
        </w:rPr>
        <w:t xml:space="preserve">] [Al-Khawaja and Tahery v. the United Kingdom [GC]], </w:t>
      </w:r>
      <w:r w:rsidRPr="008E5339">
        <w:rPr>
          <w:rFonts w:ascii="GHEA Grapalat" w:eastAsia="Times New Roman" w:hAnsi="GHEA Grapalat" w:cs="GHEA Grapalat"/>
          <w:color w:val="000000"/>
          <w:sz w:val="32"/>
          <w:szCs w:val="32"/>
          <w:shd w:val="clear" w:color="auto" w:fill="FFFFFF"/>
          <w:lang w:val="hy-AM" w:eastAsia="ru-RU"/>
        </w:rPr>
        <w:t>թիվ</w:t>
      </w:r>
      <w:r w:rsidRPr="008E5339">
        <w:rPr>
          <w:rFonts w:ascii="GHEA Grapalat" w:eastAsia="Times New Roman" w:hAnsi="GHEA Grapalat" w:cs="Times New Roman"/>
          <w:color w:val="000000"/>
          <w:sz w:val="32"/>
          <w:szCs w:val="32"/>
          <w:shd w:val="clear" w:color="auto" w:fill="FFFFFF"/>
          <w:lang w:val="hy-AM" w:eastAsia="ru-RU"/>
        </w:rPr>
        <w:t xml:space="preserve"> 26766/05 </w:t>
      </w:r>
      <w:r w:rsidRPr="008E5339">
        <w:rPr>
          <w:rFonts w:ascii="GHEA Grapalat" w:eastAsia="Times New Roman" w:hAnsi="GHEA Grapalat" w:cs="GHEA Grapalat"/>
          <w:color w:val="000000"/>
          <w:sz w:val="32"/>
          <w:szCs w:val="32"/>
          <w:shd w:val="clear" w:color="auto" w:fill="FFFFFF"/>
          <w:lang w:val="hy-AM" w:eastAsia="ru-RU"/>
        </w:rPr>
        <w:t>և</w:t>
      </w:r>
      <w:r w:rsidRPr="008E5339">
        <w:rPr>
          <w:rFonts w:ascii="GHEA Grapalat" w:eastAsia="Times New Roman" w:hAnsi="GHEA Grapalat" w:cs="Times New Roman"/>
          <w:color w:val="000000"/>
          <w:sz w:val="32"/>
          <w:szCs w:val="32"/>
          <w:shd w:val="clear" w:color="auto" w:fill="FFFFFF"/>
          <w:lang w:val="hy-AM" w:eastAsia="ru-RU"/>
        </w:rPr>
        <w:t xml:space="preserve"> </w:t>
      </w:r>
      <w:r w:rsidRPr="008E5339">
        <w:rPr>
          <w:rFonts w:ascii="GHEA Grapalat" w:eastAsia="Times New Roman" w:hAnsi="GHEA Grapalat" w:cs="GHEA Grapalat"/>
          <w:color w:val="000000"/>
          <w:sz w:val="32"/>
          <w:szCs w:val="32"/>
          <w:shd w:val="clear" w:color="auto" w:fill="FFFFFF"/>
          <w:lang w:val="hy-AM" w:eastAsia="ru-RU"/>
        </w:rPr>
        <w:t>թիվ</w:t>
      </w:r>
      <w:r w:rsidRPr="008E5339">
        <w:rPr>
          <w:rFonts w:ascii="GHEA Grapalat" w:eastAsia="Times New Roman" w:hAnsi="GHEA Grapalat" w:cs="Times New Roman"/>
          <w:color w:val="000000"/>
          <w:sz w:val="32"/>
          <w:szCs w:val="32"/>
          <w:shd w:val="clear" w:color="auto" w:fill="FFFFFF"/>
          <w:lang w:val="hy-AM" w:eastAsia="ru-RU"/>
        </w:rPr>
        <w:t xml:space="preserve"> 22228/06, </w:t>
      </w:r>
      <w:r w:rsidRPr="008E5339">
        <w:rPr>
          <w:rFonts w:ascii="GHEA Grapalat" w:eastAsia="Times New Roman" w:hAnsi="GHEA Grapalat" w:cs="GHEA Grapalat"/>
          <w:color w:val="000000"/>
          <w:sz w:val="32"/>
          <w:szCs w:val="32"/>
          <w:shd w:val="clear" w:color="auto" w:fill="FFFFFF"/>
          <w:lang w:val="hy-AM" w:eastAsia="ru-RU"/>
        </w:rPr>
        <w:t>§</w:t>
      </w:r>
      <w:r w:rsidRPr="008E5339">
        <w:rPr>
          <w:rFonts w:ascii="GHEA Grapalat" w:eastAsia="Times New Roman" w:hAnsi="GHEA Grapalat" w:cs="Times New Roman"/>
          <w:color w:val="000000"/>
          <w:sz w:val="32"/>
          <w:szCs w:val="32"/>
          <w:shd w:val="clear" w:color="auto" w:fill="FFFFFF"/>
          <w:lang w:val="hy-AM" w:eastAsia="ru-RU"/>
        </w:rPr>
        <w:t xml:space="preserve"> 118, </w:t>
      </w:r>
      <w:r w:rsidRPr="008E5339">
        <w:rPr>
          <w:rFonts w:ascii="GHEA Grapalat" w:eastAsia="Times New Roman" w:hAnsi="GHEA Grapalat" w:cs="GHEA Grapalat"/>
          <w:color w:val="000000"/>
          <w:sz w:val="32"/>
          <w:szCs w:val="32"/>
          <w:shd w:val="clear" w:color="auto" w:fill="FFFFFF"/>
          <w:lang w:val="hy-AM" w:eastAsia="ru-RU"/>
        </w:rPr>
        <w:t>ՄԻԵԴ</w:t>
      </w:r>
      <w:r w:rsidRPr="008E5339">
        <w:rPr>
          <w:rFonts w:ascii="GHEA Grapalat" w:eastAsia="Times New Roman" w:hAnsi="GHEA Grapalat" w:cs="Times New Roman"/>
          <w:color w:val="000000"/>
          <w:sz w:val="32"/>
          <w:szCs w:val="32"/>
          <w:shd w:val="clear" w:color="auto" w:fill="FFFFFF"/>
          <w:lang w:val="hy-AM" w:eastAsia="ru-RU"/>
        </w:rPr>
        <w:t xml:space="preserve"> 2011, </w:t>
      </w:r>
      <w:r w:rsidRPr="008E5339">
        <w:rPr>
          <w:rFonts w:ascii="GHEA Grapalat" w:eastAsia="Times New Roman" w:hAnsi="GHEA Grapalat" w:cs="GHEA Grapalat"/>
          <w:color w:val="000000"/>
          <w:sz w:val="32"/>
          <w:szCs w:val="32"/>
          <w:shd w:val="clear" w:color="auto" w:fill="FFFFFF"/>
          <w:lang w:val="hy-AM" w:eastAsia="ru-RU"/>
        </w:rPr>
        <w:t>և</w:t>
      </w:r>
      <w:r w:rsidRPr="008E5339">
        <w:rPr>
          <w:rFonts w:ascii="GHEA Grapalat" w:eastAsia="Times New Roman" w:hAnsi="GHEA Grapalat" w:cs="Times New Roman"/>
          <w:color w:val="000000"/>
          <w:sz w:val="32"/>
          <w:szCs w:val="32"/>
          <w:shd w:val="clear" w:color="auto" w:fill="FFFFFF"/>
          <w:lang w:val="hy-AM" w:eastAsia="ru-RU"/>
        </w:rPr>
        <w:t xml:space="preserve"> </w:t>
      </w:r>
      <w:r w:rsidRPr="008E5339">
        <w:rPr>
          <w:rFonts w:ascii="GHEA Grapalat" w:eastAsia="Times New Roman" w:hAnsi="GHEA Grapalat" w:cs="GHEA Grapalat"/>
          <w:color w:val="000000"/>
          <w:sz w:val="32"/>
          <w:szCs w:val="32"/>
          <w:shd w:val="clear" w:color="auto" w:fill="FFFFFF"/>
          <w:lang w:val="hy-AM" w:eastAsia="ru-RU"/>
        </w:rPr>
        <w:t>Պոլետանը</w:t>
      </w:r>
      <w:r w:rsidRPr="008E5339">
        <w:rPr>
          <w:rFonts w:ascii="GHEA Grapalat" w:eastAsia="Times New Roman" w:hAnsi="GHEA Grapalat" w:cs="Times New Roman"/>
          <w:color w:val="000000"/>
          <w:sz w:val="32"/>
          <w:szCs w:val="32"/>
          <w:shd w:val="clear" w:color="auto" w:fill="FFFFFF"/>
          <w:lang w:val="hy-AM" w:eastAsia="ru-RU"/>
        </w:rPr>
        <w:t xml:space="preserve"> </w:t>
      </w:r>
      <w:r w:rsidRPr="008E5339">
        <w:rPr>
          <w:rFonts w:ascii="GHEA Grapalat" w:eastAsia="Times New Roman" w:hAnsi="GHEA Grapalat" w:cs="GHEA Grapalat"/>
          <w:color w:val="000000"/>
          <w:sz w:val="32"/>
          <w:szCs w:val="32"/>
          <w:shd w:val="clear" w:color="auto" w:fill="FFFFFF"/>
          <w:lang w:val="hy-AM" w:eastAsia="ru-RU"/>
        </w:rPr>
        <w:t>և</w:t>
      </w:r>
      <w:r w:rsidRPr="008E5339">
        <w:rPr>
          <w:rFonts w:ascii="GHEA Grapalat" w:eastAsia="Times New Roman" w:hAnsi="GHEA Grapalat" w:cs="Times New Roman"/>
          <w:color w:val="000000"/>
          <w:sz w:val="32"/>
          <w:szCs w:val="32"/>
          <w:shd w:val="clear" w:color="auto" w:fill="FFFFFF"/>
          <w:lang w:val="hy-AM" w:eastAsia="ru-RU"/>
        </w:rPr>
        <w:t xml:space="preserve"> </w:t>
      </w:r>
      <w:r w:rsidRPr="008E5339">
        <w:rPr>
          <w:rFonts w:ascii="GHEA Grapalat" w:eastAsia="Times New Roman" w:hAnsi="GHEA Grapalat" w:cs="GHEA Grapalat"/>
          <w:color w:val="000000"/>
          <w:sz w:val="32"/>
          <w:szCs w:val="32"/>
          <w:shd w:val="clear" w:color="auto" w:fill="FFFFFF"/>
          <w:lang w:val="hy-AM" w:eastAsia="ru-RU"/>
        </w:rPr>
        <w:t>Ազիրովիկն</w:t>
      </w:r>
      <w:r w:rsidRPr="008E5339">
        <w:rPr>
          <w:rFonts w:ascii="GHEA Grapalat" w:eastAsia="Times New Roman" w:hAnsi="GHEA Grapalat" w:cs="Times New Roman"/>
          <w:color w:val="000000"/>
          <w:sz w:val="32"/>
          <w:szCs w:val="32"/>
          <w:shd w:val="clear" w:color="auto" w:fill="FFFFFF"/>
          <w:lang w:val="hy-AM" w:eastAsia="ru-RU"/>
        </w:rPr>
        <w:t xml:space="preserve"> </w:t>
      </w:r>
      <w:r w:rsidRPr="008E5339">
        <w:rPr>
          <w:rFonts w:ascii="GHEA Grapalat" w:eastAsia="Times New Roman" w:hAnsi="GHEA Grapalat" w:cs="GHEA Grapalat"/>
          <w:color w:val="000000"/>
          <w:sz w:val="32"/>
          <w:szCs w:val="32"/>
          <w:shd w:val="clear" w:color="auto" w:fill="FFFFFF"/>
          <w:lang w:val="hy-AM" w:eastAsia="ru-RU"/>
        </w:rPr>
        <w:t>ընդդեմ</w:t>
      </w:r>
      <w:r w:rsidRPr="008E5339">
        <w:rPr>
          <w:rFonts w:ascii="GHEA Grapalat" w:eastAsia="Times New Roman" w:hAnsi="GHEA Grapalat" w:cs="Times New Roman"/>
          <w:color w:val="000000"/>
          <w:sz w:val="32"/>
          <w:szCs w:val="32"/>
          <w:shd w:val="clear" w:color="auto" w:fill="FFFFFF"/>
          <w:lang w:val="hy-AM" w:eastAsia="ru-RU"/>
        </w:rPr>
        <w:t xml:space="preserve"> </w:t>
      </w:r>
      <w:r w:rsidRPr="008E5339">
        <w:rPr>
          <w:rFonts w:ascii="GHEA Grapalat" w:eastAsia="Times New Roman" w:hAnsi="GHEA Grapalat" w:cs="GHEA Grapalat"/>
          <w:color w:val="000000"/>
          <w:sz w:val="32"/>
          <w:szCs w:val="32"/>
          <w:shd w:val="clear" w:color="auto" w:fill="FFFFFF"/>
          <w:lang w:val="hy-AM" w:eastAsia="ru-RU"/>
        </w:rPr>
        <w:t>Մակեդոնիայի</w:t>
      </w:r>
      <w:r w:rsidRPr="008E5339">
        <w:rPr>
          <w:rFonts w:ascii="GHEA Grapalat" w:eastAsia="Times New Roman" w:hAnsi="GHEA Grapalat" w:cs="Times New Roman"/>
          <w:color w:val="000000"/>
          <w:sz w:val="32"/>
          <w:szCs w:val="32"/>
          <w:shd w:val="clear" w:color="auto" w:fill="FFFFFF"/>
          <w:lang w:val="hy-AM" w:eastAsia="ru-RU"/>
        </w:rPr>
        <w:t xml:space="preserve"> նախկին Հարավսլավական Հանրապետության [</w:t>
      </w:r>
      <w:r w:rsidRPr="008E5339">
        <w:rPr>
          <w:rFonts w:ascii="GHEA Grapalat" w:eastAsia="Times New Roman" w:hAnsi="GHEA Grapalat" w:cs="Times New Roman"/>
          <w:i/>
          <w:iCs/>
          <w:color w:val="000000"/>
          <w:sz w:val="32"/>
          <w:szCs w:val="32"/>
          <w:shd w:val="clear" w:color="auto" w:fill="FFFFFF"/>
          <w:lang w:val="hy-AM" w:eastAsia="ru-RU"/>
        </w:rPr>
        <w:t>Poletan and Azirovik v. the former Yugoslav Republic of Macedonia</w:t>
      </w:r>
      <w:r w:rsidRPr="008E5339">
        <w:rPr>
          <w:rFonts w:ascii="GHEA Grapalat" w:eastAsia="Times New Roman" w:hAnsi="GHEA Grapalat" w:cs="Times New Roman"/>
          <w:color w:val="000000"/>
          <w:sz w:val="32"/>
          <w:szCs w:val="32"/>
          <w:shd w:val="clear" w:color="auto" w:fill="FFFFFF"/>
          <w:lang w:val="hy-AM" w:eastAsia="ru-RU"/>
        </w:rPr>
        <w:t>], թիվ 26711/07, 32786/10 և 34278/10, § 81, 2016 թվականի մայիսի 12)։</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40.</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Կոնվենցիայի 6-րդ հոդվածի 3-րդ կետի «դ» ենթակետի իմաստով «վկա» եզրույթն ունի ավտոնոմ նշանակություն, որը նաև ներառում է փորձագետ-վկաներին (տե՛ս Գրեգաչեվիչի գործը՝ վերևում հիշատակված, § 67, և</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i/>
          <w:iCs/>
          <w:color w:val="000000"/>
          <w:sz w:val="24"/>
          <w:szCs w:val="24"/>
          <w:shd w:val="clear" w:color="auto" w:fill="FFFFFF"/>
          <w:lang w:val="hy-AM" w:eastAsia="ru-RU"/>
        </w:rPr>
        <w:t>Կոստանտինիդեսն ընդդեմ Հունաստանի [Constantinides v. Greece]</w:t>
      </w:r>
      <w:r w:rsidRPr="008E5339">
        <w:rPr>
          <w:rFonts w:ascii="GHEA Grapalat" w:eastAsia="Times New Roman" w:hAnsi="GHEA Grapalat" w:cs="Times New Roman"/>
          <w:color w:val="000000"/>
          <w:sz w:val="24"/>
          <w:szCs w:val="24"/>
          <w:shd w:val="clear" w:color="auto" w:fill="FFFFFF"/>
          <w:lang w:val="hy-AM" w:eastAsia="ru-RU"/>
        </w:rPr>
        <w:t>, թիվ76438/12, §§ 37-38, 2016 թվականի հոկտեմբերի 6)։ Այնուամենայնիվ, փորձագետ-վկաների դերը կարող է տարբերակվել այն վկաների դերից, որոնք Դատարանին ներկայացնում են իրենց անձնական հիշողությունները որոշակի իրադարձության վերաբերյալ (տե՛ս</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i/>
          <w:iCs/>
          <w:color w:val="000000"/>
          <w:sz w:val="24"/>
          <w:szCs w:val="24"/>
          <w:shd w:val="clear" w:color="auto" w:fill="FFFFFF"/>
          <w:lang w:val="hy-AM" w:eastAsia="ru-RU"/>
        </w:rPr>
        <w:t>Խոդորկովսկին և Լեբեդևն ընդդեմ Ռուսաստանի [Khodorkovskiy and Lebedev v. Russia]</w:t>
      </w:r>
      <w:r w:rsidRPr="008E5339">
        <w:rPr>
          <w:rFonts w:ascii="GHEA Grapalat" w:eastAsia="Times New Roman" w:hAnsi="GHEA Grapalat" w:cs="Times New Roman"/>
          <w:color w:val="000000"/>
          <w:sz w:val="24"/>
          <w:szCs w:val="24"/>
          <w:shd w:val="clear" w:color="auto" w:fill="FFFFFF"/>
          <w:lang w:val="hy-AM" w:eastAsia="ru-RU"/>
        </w:rPr>
        <w:t>, թիվ 11082/06 և 13772/05, §711, 2013 թվականի հուլիսի 25)։ Վերլուծելով, թե արդյոք դատական քննությանը փորձագետի անձամբ ներկա լինելն անհրաժեշտ էր՝ Դատարանը, հետևաբար, հիմնականում կղեկավարվի Կոնվենցիայի 6-րդ հոդվածի 1-ին կետով ամրագրված՝ «արդար դատաքննության» հասկացության սկզբունքով և մասնավորապես՝ «մրցակցային դատավարության» և «կողմերի</w:t>
      </w:r>
      <w:r w:rsidRPr="008E5339">
        <w:rPr>
          <w:rFonts w:ascii="Calibri" w:eastAsia="Times New Roman" w:hAnsi="Calibri" w:cs="Calibri"/>
          <w:color w:val="000000"/>
          <w:sz w:val="24"/>
          <w:szCs w:val="24"/>
          <w:shd w:val="clear" w:color="auto" w:fill="FFFFFF"/>
          <w:lang w:val="hy-AM" w:eastAsia="ru-RU"/>
        </w:rPr>
        <w:t> </w:t>
      </w:r>
      <w:r w:rsidRPr="008E5339">
        <w:rPr>
          <w:rFonts w:ascii="Arial Unicode" w:eastAsia="Times New Roman" w:hAnsi="Arial Unicode" w:cs="Times New Roman"/>
          <w:color w:val="000000"/>
          <w:spacing w:val="4"/>
          <w:sz w:val="24"/>
          <w:szCs w:val="24"/>
          <w:shd w:val="clear" w:color="auto" w:fill="FFFFFF"/>
          <w:lang w:val="hy-AM" w:eastAsia="ru-RU"/>
        </w:rPr>
        <w:t>հավասարության» երաշխիքներով։ Հաշվի առնելով վերոնշյալը՝ Կոնվենցիայի 6-րդ հոդվածի</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3-</w:t>
      </w:r>
      <w:r w:rsidRPr="008E5339">
        <w:rPr>
          <w:rFonts w:ascii="GHEA Grapalat" w:eastAsia="Times New Roman" w:hAnsi="GHEA Grapalat" w:cs="GHEA Grapalat"/>
          <w:color w:val="000000"/>
          <w:sz w:val="24"/>
          <w:szCs w:val="24"/>
          <w:shd w:val="clear" w:color="auto" w:fill="FFFFFF"/>
          <w:lang w:val="hy-AM" w:eastAsia="ru-RU"/>
        </w:rPr>
        <w:t>րդ</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կետի</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«դ»</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ենթակետի</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իմաստով</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«վկաների»</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անձնական</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հարցաքննության</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վերաբերյալ</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Դատարանի</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որոշ</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մոտեցումներ</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անկասկած</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վերաբերելի</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են</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փորձ</w:t>
      </w:r>
      <w:r w:rsidRPr="008E5339">
        <w:rPr>
          <w:rFonts w:ascii="GHEA Grapalat" w:eastAsia="Times New Roman" w:hAnsi="GHEA Grapalat" w:cs="Times New Roman"/>
          <w:color w:val="000000"/>
          <w:sz w:val="24"/>
          <w:szCs w:val="24"/>
          <w:shd w:val="clear" w:color="auto" w:fill="FFFFFF"/>
          <w:lang w:val="hy-AM" w:eastAsia="ru-RU"/>
        </w:rPr>
        <w:t>աքննությամբ ստացված ապացույցների ուսումնասիրության համատեքստում և կարող են կիրառվել</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i/>
          <w:iCs/>
          <w:color w:val="000000"/>
          <w:sz w:val="24"/>
          <w:szCs w:val="24"/>
          <w:shd w:val="clear" w:color="auto" w:fill="FFFFFF"/>
          <w:lang w:val="hy-AM" w:eastAsia="ru-RU"/>
        </w:rPr>
        <w:t>mutatis mutandis</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GHEA Grapalat" w:eastAsia="Times New Roman" w:hAnsi="GHEA Grapalat" w:cs="GHEA Grapalat"/>
          <w:color w:val="000000"/>
          <w:sz w:val="24"/>
          <w:szCs w:val="24"/>
          <w:shd w:val="clear" w:color="auto" w:fill="FFFFFF"/>
          <w:lang w:val="hy-AM" w:eastAsia="ru-RU"/>
        </w:rPr>
        <w:t>համապատասխան</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փոփոխություններով</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GHEA Grapalat" w:eastAsia="Times New Roman" w:hAnsi="GHEA Grapalat" w:cs="GHEA Grapalat"/>
          <w:color w:val="000000"/>
          <w:sz w:val="24"/>
          <w:szCs w:val="24"/>
          <w:shd w:val="clear" w:color="auto" w:fill="FFFFFF"/>
          <w:lang w:val="hy-AM" w:eastAsia="ru-RU"/>
        </w:rPr>
        <w:t>՝</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պատշաճորեն</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հաշվի</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առնելով</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նրանց</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կարգավիճակի</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և</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դերի</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հետ</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կապված</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տարբերությունները</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տե՛ս</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lastRenderedPageBreak/>
        <w:t>Բյոնիշն</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ընդդեմ</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Ավստրիայի</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i/>
          <w:iCs/>
          <w:color w:val="000000"/>
          <w:sz w:val="24"/>
          <w:szCs w:val="24"/>
          <w:shd w:val="clear" w:color="auto" w:fill="FFFFFF"/>
          <w:lang w:val="hy-AM" w:eastAsia="ru-RU"/>
        </w:rPr>
        <w:t>[Bönisch v. Austria],</w:t>
      </w:r>
      <w:r w:rsidRPr="008E5339">
        <w:rPr>
          <w:rFonts w:ascii="Calibri" w:eastAsia="Times New Roman" w:hAnsi="Calibri" w:cs="Calibri"/>
          <w:i/>
          <w:iCs/>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1985 թվականի մայիսի 6, շարք Ա, թիվ 92, հաջորդող հղումների հետ միասին, և</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i/>
          <w:iCs/>
          <w:color w:val="000000"/>
          <w:sz w:val="24"/>
          <w:szCs w:val="24"/>
          <w:shd w:val="clear" w:color="auto" w:fill="FFFFFF"/>
          <w:lang w:val="hy-AM" w:eastAsia="ru-RU"/>
        </w:rPr>
        <w:t>Մատիցինան ընդդեմ Ռուսաստանի</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[Matytsina v. Russia]</w:t>
      </w:r>
      <w:r w:rsidRPr="008E5339">
        <w:rPr>
          <w:rFonts w:ascii="GHEA Grapalat" w:eastAsia="Times New Roman" w:hAnsi="GHEA Grapalat" w:cs="Times New Roman"/>
          <w:i/>
          <w:iCs/>
          <w:color w:val="000000"/>
          <w:sz w:val="24"/>
          <w:szCs w:val="24"/>
          <w:shd w:val="clear" w:color="auto" w:fill="FFFFFF"/>
          <w:lang w:val="hy-AM" w:eastAsia="ru-RU"/>
        </w:rPr>
        <w:t>, թիվ</w:t>
      </w:r>
      <w:r w:rsidRPr="008E5339">
        <w:rPr>
          <w:rFonts w:ascii="Calibri" w:eastAsia="Times New Roman" w:hAnsi="Calibri" w:cs="Calibri"/>
          <w:i/>
          <w:iCs/>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58428/10, § 168, 2014 թվականի մարտի 27)։</w:t>
      </w:r>
    </w:p>
    <w:p w:rsidR="008E5339" w:rsidRPr="008E5339" w:rsidRDefault="008E5339" w:rsidP="008E5339">
      <w:pPr>
        <w:spacing w:after="0" w:line="240" w:lineRule="auto"/>
        <w:ind w:firstLine="375"/>
        <w:rPr>
          <w:rFonts w:ascii="Arial Unicode" w:eastAsia="Times New Roman" w:hAnsi="Arial Unicode" w:cs="Times New Roman"/>
          <w:color w:val="000000"/>
          <w:sz w:val="32"/>
          <w:szCs w:val="32"/>
          <w:shd w:val="clear" w:color="auto" w:fill="FFFFFF"/>
          <w:lang w:val="hy-AM" w:eastAsia="ru-RU"/>
        </w:rPr>
      </w:pPr>
      <w:r w:rsidRPr="008E5339">
        <w:rPr>
          <w:rFonts w:ascii="GHEA Grapalat" w:eastAsia="Times New Roman" w:hAnsi="GHEA Grapalat" w:cs="Times New Roman"/>
          <w:color w:val="000000"/>
          <w:sz w:val="32"/>
          <w:szCs w:val="32"/>
          <w:shd w:val="clear" w:color="auto" w:fill="FFFFFF"/>
          <w:lang w:val="hy-AM" w:eastAsia="ru-RU"/>
        </w:rPr>
        <w:t>41.</w:t>
      </w:r>
      <w:r w:rsidRPr="008E5339">
        <w:rPr>
          <w:rFonts w:ascii="Calibri" w:eastAsia="Times New Roman" w:hAnsi="Calibri" w:cs="Calibri"/>
          <w:color w:val="000000"/>
          <w:sz w:val="32"/>
          <w:szCs w:val="32"/>
          <w:shd w:val="clear" w:color="auto" w:fill="FFFFFF"/>
          <w:lang w:val="hy-AM" w:eastAsia="ru-RU"/>
        </w:rPr>
        <w:t> </w:t>
      </w:r>
      <w:r w:rsidRPr="008E5339">
        <w:rPr>
          <w:rFonts w:ascii="GHEA Grapalat" w:eastAsia="Times New Roman" w:hAnsi="GHEA Grapalat" w:cs="Times New Roman"/>
          <w:color w:val="000000"/>
          <w:sz w:val="32"/>
          <w:szCs w:val="32"/>
          <w:shd w:val="clear" w:color="auto" w:fill="FFFFFF"/>
          <w:lang w:val="hy-AM" w:eastAsia="ru-RU"/>
        </w:rPr>
        <w:t>Ապացույցների թույլատրելիությունն ի սկզբանե ներպետական իրավունքով կարգավորման ենթակա հարց է։ Կոնվենցիայի համաձայն՝ Դատարանի խնդիրը ոչ թե որոշում կայացնելն է, թե արդյոք վկաների ցուցմունքները պատշաճորեն թույլատրելի են ճանաչվել որպես ապացույց, այլ հաստատելը, թե արդյոք վարույթն ամբողջությամբ, այդ թվում՝ ապացույցների ձեռքբերման եղանակն արդար են եղել (տե՛ս, ի թիվս այլ մի շարք վճիռների,</w:t>
      </w:r>
      <w:r w:rsidRPr="008E5339">
        <w:rPr>
          <w:rFonts w:ascii="Calibri" w:eastAsia="Times New Roman" w:hAnsi="Calibri" w:cs="Calibri"/>
          <w:color w:val="000000"/>
          <w:sz w:val="32"/>
          <w:szCs w:val="32"/>
          <w:shd w:val="clear" w:color="auto" w:fill="FFFFFF"/>
          <w:lang w:val="hy-AM" w:eastAsia="ru-RU"/>
        </w:rPr>
        <w:t> </w:t>
      </w:r>
      <w:r w:rsidRPr="008E5339">
        <w:rPr>
          <w:rFonts w:ascii="GHEA Grapalat" w:eastAsia="Times New Roman" w:hAnsi="GHEA Grapalat" w:cs="Times New Roman"/>
          <w:i/>
          <w:iCs/>
          <w:color w:val="000000"/>
          <w:sz w:val="32"/>
          <w:szCs w:val="32"/>
          <w:shd w:val="clear" w:color="auto" w:fill="FFFFFF"/>
          <w:lang w:val="hy-AM" w:eastAsia="ru-RU"/>
        </w:rPr>
        <w:t>ՎանՄեհելենը և այլք ընդդեմ Նիդեռլանդների</w:t>
      </w:r>
      <w:r w:rsidRPr="008E5339">
        <w:rPr>
          <w:rFonts w:ascii="Calibri" w:eastAsia="Times New Roman" w:hAnsi="Calibri" w:cs="Calibri"/>
          <w:color w:val="000000"/>
          <w:sz w:val="32"/>
          <w:szCs w:val="32"/>
          <w:shd w:val="clear" w:color="auto" w:fill="FFFFFF"/>
          <w:lang w:val="hy-AM" w:eastAsia="ru-RU"/>
        </w:rPr>
        <w:t> </w:t>
      </w:r>
      <w:r w:rsidRPr="008E5339">
        <w:rPr>
          <w:rFonts w:ascii="GHEA Grapalat" w:eastAsia="Times New Roman" w:hAnsi="GHEA Grapalat" w:cs="Times New Roman"/>
          <w:i/>
          <w:iCs/>
          <w:color w:val="000000"/>
          <w:sz w:val="32"/>
          <w:szCs w:val="32"/>
          <w:shd w:val="clear" w:color="auto" w:fill="FFFFFF"/>
          <w:lang w:val="hy-AM" w:eastAsia="ru-RU"/>
        </w:rPr>
        <w:t>[Van Mechelen and Others v. the Netherlands]</w:t>
      </w:r>
      <w:r w:rsidRPr="008E5339">
        <w:rPr>
          <w:rFonts w:ascii="GHEA Grapalat" w:eastAsia="Times New Roman" w:hAnsi="GHEA Grapalat" w:cs="Times New Roman"/>
          <w:color w:val="000000"/>
          <w:sz w:val="32"/>
          <w:szCs w:val="32"/>
          <w:shd w:val="clear" w:color="auto" w:fill="FFFFFF"/>
          <w:lang w:val="hy-AM" w:eastAsia="ru-RU"/>
        </w:rPr>
        <w:t>, 1997 թվականի ապրիլի 23, § 50,</w:t>
      </w:r>
      <w:r w:rsidRPr="008E5339">
        <w:rPr>
          <w:rFonts w:ascii="Calibri" w:eastAsia="Times New Roman" w:hAnsi="Calibri" w:cs="Calibri"/>
          <w:color w:val="000000"/>
          <w:sz w:val="32"/>
          <w:szCs w:val="32"/>
          <w:shd w:val="clear" w:color="auto" w:fill="FFFFFF"/>
          <w:lang w:val="hy-AM" w:eastAsia="ru-RU"/>
        </w:rPr>
        <w:t> </w:t>
      </w:r>
      <w:r w:rsidRPr="008E5339">
        <w:rPr>
          <w:rFonts w:ascii="GHEA Grapalat" w:eastAsia="Times New Roman" w:hAnsi="GHEA Grapalat" w:cs="Times New Roman"/>
          <w:i/>
          <w:iCs/>
          <w:color w:val="000000"/>
          <w:sz w:val="32"/>
          <w:szCs w:val="32"/>
          <w:shd w:val="clear" w:color="auto" w:fill="FFFFFF"/>
          <w:lang w:val="hy-AM" w:eastAsia="ru-RU"/>
        </w:rPr>
        <w:t>Վճիռների և որոշումների մասին զեկույցներ</w:t>
      </w:r>
      <w:r w:rsidRPr="008E5339">
        <w:rPr>
          <w:rFonts w:ascii="Calibri" w:eastAsia="Times New Roman" w:hAnsi="Calibri" w:cs="Calibri"/>
          <w:i/>
          <w:iCs/>
          <w:color w:val="000000"/>
          <w:sz w:val="32"/>
          <w:szCs w:val="32"/>
          <w:shd w:val="clear" w:color="auto" w:fill="FFFFFF"/>
          <w:lang w:val="hy-AM" w:eastAsia="ru-RU"/>
        </w:rPr>
        <w:t> </w:t>
      </w:r>
      <w:r w:rsidRPr="008E5339">
        <w:rPr>
          <w:rFonts w:ascii="GHEA Grapalat" w:eastAsia="Times New Roman" w:hAnsi="GHEA Grapalat" w:cs="Times New Roman"/>
          <w:color w:val="000000"/>
          <w:sz w:val="32"/>
          <w:szCs w:val="32"/>
          <w:shd w:val="clear" w:color="auto" w:fill="FFFFFF"/>
          <w:lang w:val="hy-AM" w:eastAsia="ru-RU"/>
        </w:rPr>
        <w:t>1997</w:t>
      </w:r>
      <w:r w:rsidRPr="008E5339">
        <w:rPr>
          <w:rFonts w:ascii="GHEA Grapalat" w:eastAsia="Times New Roman" w:hAnsi="GHEA Grapalat" w:cs="Times New Roman"/>
          <w:color w:val="000000"/>
          <w:sz w:val="32"/>
          <w:szCs w:val="32"/>
          <w:shd w:val="clear" w:color="auto" w:fill="FFFFFF"/>
          <w:lang w:val="hy-AM" w:eastAsia="ru-RU"/>
        </w:rPr>
        <w:noBreakHyphen/>
        <w:t>-III)։ Մասնավորապես, «որպես ընդհանուր կանոն՝ ազգային դատարաններն են գնահատում իրենց ներկայացված ապացույցները, ինչպես նաև այն ապացույցների վերաբերելիությունը, որոնք վկայակոչում է պաշտպանության կողմը: 6-րդ հոդվածի 3-րդ կետի «դ» ենթակետով, կրկին որպես ընդհանուր կանոն, նրանց թույլատրվում է գնահատել վկային կանչելու նպատակահարմարությունը» (տե՛ս</w:t>
      </w:r>
      <w:r w:rsidRPr="008E5339">
        <w:rPr>
          <w:rFonts w:ascii="Calibri" w:eastAsia="Times New Roman" w:hAnsi="Calibri" w:cs="Calibri"/>
          <w:color w:val="000000"/>
          <w:sz w:val="32"/>
          <w:szCs w:val="32"/>
          <w:shd w:val="clear" w:color="auto" w:fill="FFFFFF"/>
          <w:lang w:val="hy-AM" w:eastAsia="ru-RU"/>
        </w:rPr>
        <w:t> </w:t>
      </w:r>
      <w:r w:rsidRPr="008E5339">
        <w:rPr>
          <w:rFonts w:ascii="GHEA Grapalat" w:eastAsia="Times New Roman" w:hAnsi="GHEA Grapalat" w:cs="Times New Roman"/>
          <w:i/>
          <w:iCs/>
          <w:color w:val="000000"/>
          <w:sz w:val="32"/>
          <w:szCs w:val="32"/>
          <w:shd w:val="clear" w:color="auto" w:fill="FFFFFF"/>
          <w:lang w:val="hy-AM" w:eastAsia="ru-RU"/>
        </w:rPr>
        <w:t>Վիդալն ընդդեմ Բելգիայի</w:t>
      </w:r>
      <w:r w:rsidRPr="008E5339">
        <w:rPr>
          <w:rFonts w:ascii="Calibri" w:eastAsia="Times New Roman" w:hAnsi="Calibri" w:cs="Calibri"/>
          <w:color w:val="000000"/>
          <w:sz w:val="32"/>
          <w:szCs w:val="32"/>
          <w:shd w:val="clear" w:color="auto" w:fill="FFFFFF"/>
          <w:lang w:val="hy-AM" w:eastAsia="ru-RU"/>
        </w:rPr>
        <w:t> </w:t>
      </w:r>
      <w:r w:rsidRPr="008E5339">
        <w:rPr>
          <w:rFonts w:ascii="GHEA Grapalat" w:eastAsia="Times New Roman" w:hAnsi="GHEA Grapalat" w:cs="Times New Roman"/>
          <w:i/>
          <w:iCs/>
          <w:color w:val="000000"/>
          <w:sz w:val="32"/>
          <w:szCs w:val="32"/>
          <w:shd w:val="clear" w:color="auto" w:fill="FFFFFF"/>
          <w:lang w:val="hy-AM" w:eastAsia="ru-RU"/>
        </w:rPr>
        <w:t>[Vidal v. Belgium],</w:t>
      </w:r>
      <w:r w:rsidRPr="008E5339">
        <w:rPr>
          <w:rFonts w:ascii="Calibri" w:eastAsia="Times New Roman" w:hAnsi="Calibri" w:cs="Calibri"/>
          <w:i/>
          <w:iCs/>
          <w:color w:val="000000"/>
          <w:sz w:val="32"/>
          <w:szCs w:val="32"/>
          <w:shd w:val="clear" w:color="auto" w:fill="FFFFFF"/>
          <w:lang w:val="hy-AM" w:eastAsia="ru-RU"/>
        </w:rPr>
        <w:t> </w:t>
      </w:r>
      <w:r w:rsidRPr="008E5339">
        <w:rPr>
          <w:rFonts w:ascii="GHEA Grapalat" w:eastAsia="Times New Roman" w:hAnsi="GHEA Grapalat" w:cs="Times New Roman"/>
          <w:color w:val="000000"/>
          <w:sz w:val="32"/>
          <w:szCs w:val="32"/>
          <w:shd w:val="clear" w:color="auto" w:fill="FFFFFF"/>
          <w:lang w:val="hy-AM" w:eastAsia="ru-RU"/>
        </w:rPr>
        <w:t>1992 թվականի ապրիլի 2, § 33, շարք Ա, թիվ 235-Բ):</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b/>
          <w:bCs/>
          <w:color w:val="000000"/>
          <w:sz w:val="24"/>
          <w:szCs w:val="24"/>
          <w:shd w:val="clear" w:color="auto" w:fill="FFFFFF"/>
          <w:lang w:val="hy-AM" w:eastAsia="ru-RU"/>
        </w:rPr>
        <w:t>բ)</w:t>
      </w:r>
      <w:r w:rsidRPr="008E5339">
        <w:rPr>
          <w:rFonts w:ascii="Calibri" w:eastAsia="Times New Roman" w:hAnsi="Calibri" w:cs="Calibri"/>
          <w:b/>
          <w:bCs/>
          <w:color w:val="000000"/>
          <w:sz w:val="24"/>
          <w:szCs w:val="24"/>
          <w:shd w:val="clear" w:color="auto" w:fill="FFFFFF"/>
          <w:lang w:val="hy-AM" w:eastAsia="ru-RU"/>
        </w:rPr>
        <w:t> </w:t>
      </w:r>
      <w:r w:rsidRPr="008E5339">
        <w:rPr>
          <w:rFonts w:ascii="GHEA Grapalat" w:eastAsia="Times New Roman" w:hAnsi="GHEA Grapalat" w:cs="Times New Roman"/>
          <w:b/>
          <w:bCs/>
          <w:color w:val="000000"/>
          <w:sz w:val="24"/>
          <w:szCs w:val="24"/>
          <w:shd w:val="clear" w:color="auto" w:fill="FFFFFF"/>
          <w:lang w:val="hy-AM" w:eastAsia="ru-RU"/>
        </w:rPr>
        <w:t>Այդ սկզբունքների կիրառումը սույն գործի նկատմամբ</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2.</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Դատարանը նկատում է, որ Քրեական դատարանը դիմումատուին մեղավոր է ճանաչել երկու դրվագներով՝ ծանրացնող հանգամանքներում սպանություն կատարելու համար, և դատապարտել նրան ցմահ ազատազրկման։ Գործի նյութերը բաղկացած են վեց փորձագիտական եզրակացություններից, որոնցով,</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i/>
          <w:iCs/>
          <w:color w:val="000000"/>
          <w:sz w:val="24"/>
          <w:szCs w:val="24"/>
          <w:shd w:val="clear" w:color="auto" w:fill="FFFFFF"/>
          <w:lang w:val="hy-AM" w:eastAsia="ru-RU"/>
        </w:rPr>
        <w:t>inter alia</w:t>
      </w:r>
      <w:r w:rsidRPr="008E5339">
        <w:rPr>
          <w:rFonts w:ascii="GHEA Grapalat" w:eastAsia="Times New Roman" w:hAnsi="GHEA Grapalat" w:cs="Times New Roman"/>
          <w:color w:val="000000"/>
          <w:sz w:val="24"/>
          <w:szCs w:val="24"/>
          <w:shd w:val="clear" w:color="auto" w:fill="FFFFFF"/>
          <w:lang w:val="hy-AM" w:eastAsia="ru-RU"/>
        </w:rPr>
        <w:t>, որոշվել է տուժողների մահվան պատճառը։ Թեև փորձագետ Ա.Դ.-ի կողմից ներկայացված երկու սկզբնական եզրակացություններում նշվել է, որ երկու քույրերը մահացել են սրտային սուր անբավարարությունից և հիպոթերմիայից (տե՛ս վերևում՝ 8-9-րդ պարբերությունները), փորձագետներ Գ.Հ.-ի և Ա.Բ.-ի, ինչպես նաև փորձագետներ Ս.Հ.-ի և Ս.Ս.-ի կողմից տրված</w:t>
      </w:r>
      <w:r w:rsidRPr="008E5339">
        <w:rPr>
          <w:rFonts w:ascii="Calibri" w:eastAsia="Times New Roman" w:hAnsi="Calibri" w:cs="Calibri"/>
          <w:color w:val="000000"/>
          <w:sz w:val="24"/>
          <w:szCs w:val="24"/>
          <w:shd w:val="clear" w:color="auto" w:fill="FFFFFF"/>
          <w:lang w:val="hy-AM" w:eastAsia="ru-RU"/>
        </w:rPr>
        <w:t> </w:t>
      </w:r>
      <w:r w:rsidRPr="008E5339">
        <w:rPr>
          <w:rFonts w:ascii="Arial Unicode" w:eastAsia="Times New Roman" w:hAnsi="Arial Unicode" w:cs="Times New Roman"/>
          <w:color w:val="000000"/>
          <w:spacing w:val="-6"/>
          <w:sz w:val="24"/>
          <w:szCs w:val="24"/>
          <w:shd w:val="clear" w:color="auto" w:fill="FFFFFF"/>
          <w:lang w:val="hy-AM" w:eastAsia="ru-RU"/>
        </w:rPr>
        <w:t>լրացուցիչ եզրակացություններից պարզ է դառնում, որ տուժողներին թունավորել են (տե՛ս վերևում</w:t>
      </w:r>
      <w:r w:rsidRPr="008E5339">
        <w:rPr>
          <w:rFonts w:ascii="GHEA Grapalat" w:eastAsia="Times New Roman" w:hAnsi="GHEA Grapalat" w:cs="Times New Roman"/>
          <w:color w:val="000000"/>
          <w:sz w:val="24"/>
          <w:szCs w:val="24"/>
          <w:shd w:val="clear" w:color="auto" w:fill="FFFFFF"/>
          <w:lang w:val="hy-AM" w:eastAsia="ru-RU"/>
        </w:rPr>
        <w:t xml:space="preserve">՝ 15-րդ և 18-րդ պարբերությունները)։ Դիմումատուն խնդրել է փորձագետներ Ա.Դ.-ին, Ս.Հ.-ին և Ս.Ս.-ին կանչել առաջին ատյանի դատարան՝ նրանց կողմից ներկայացված հակասական եզրակացությունների առնչությամբ նրանց հարցաքննելու հնարավորություն ունենալու համար, սակայն առաջին ատյանի դատարանը մերժել է նրա խնդրանքը՝ համարելով, որ այդ փորձագետներին կանչելու անհրաժեշտություն չկա։ Ո՛չ առաջին ատյանի դատարանը և ո՛չ էլ Վերաքննիչ քրեական </w:t>
      </w:r>
      <w:r w:rsidRPr="008E5339">
        <w:rPr>
          <w:rFonts w:ascii="GHEA Grapalat" w:eastAsia="Times New Roman" w:hAnsi="GHEA Grapalat" w:cs="Times New Roman"/>
          <w:color w:val="000000"/>
          <w:sz w:val="24"/>
          <w:szCs w:val="24"/>
          <w:shd w:val="clear" w:color="auto" w:fill="FFFFFF"/>
          <w:lang w:val="hy-AM" w:eastAsia="ru-RU"/>
        </w:rPr>
        <w:lastRenderedPageBreak/>
        <w:t>դատարանն իրենց դատավճիռներում չեն անդրադարձել այդ հարցին (տե՛ս վերևում՝ 22-րդ և 24-րդ պարբերությունները)։</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43.</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Ինչպես բազմիցս Դատարանը նշել է, արդար դատաքննության պահանջներից մեկն այն է, որ մեղադրյալին տրվի այն դատավորի ներկայությամբ վկայի՝ իր դեմ տված ցուցմունքի թույլատրելիությունը վիճարկելու կամ իր դեմ ցուցմունք տված վկային հարցաքննելու հնարավորություն, որը գործով վերջնական որոշում է կայացնելու, քանի որ դատավորի դիտարկումները տվյալ վկայի վարքագծի և նրա վստահելիության վերաբերյալ կարող են հետևանքներ ունենալ մեղադրյալի համար (տե՛ս</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i/>
          <w:iCs/>
          <w:color w:val="000000"/>
          <w:sz w:val="24"/>
          <w:szCs w:val="24"/>
          <w:shd w:val="clear" w:color="auto" w:fill="FFFFFF"/>
          <w:lang w:val="hy-AM" w:eastAsia="ru-RU"/>
        </w:rPr>
        <w:t>Հանուն ընդդեմ Ռումինիայի [Hanu v. Romania],</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թիվ</w:t>
      </w:r>
      <w:r w:rsidRPr="008E5339">
        <w:rPr>
          <w:rFonts w:ascii="GHEA Grapalat" w:eastAsia="Times New Roman" w:hAnsi="GHEA Grapalat" w:cs="Times New Roman"/>
          <w:color w:val="000000"/>
          <w:sz w:val="24"/>
          <w:szCs w:val="24"/>
          <w:shd w:val="clear" w:color="auto" w:fill="FFFFFF"/>
          <w:lang w:val="hy-AM" w:eastAsia="ru-RU"/>
        </w:rPr>
        <w:t xml:space="preserve"> 10890/04, </w:t>
      </w:r>
      <w:r w:rsidRPr="008E5339">
        <w:rPr>
          <w:rFonts w:ascii="GHEA Grapalat" w:eastAsia="Times New Roman" w:hAnsi="GHEA Grapalat" w:cs="GHEA Grapalat"/>
          <w:color w:val="000000"/>
          <w:sz w:val="24"/>
          <w:szCs w:val="24"/>
          <w:shd w:val="clear" w:color="auto" w:fill="FFFFFF"/>
          <w:lang w:val="hy-AM" w:eastAsia="ru-RU"/>
        </w:rPr>
        <w:t>§</w:t>
      </w:r>
      <w:r w:rsidRPr="008E5339">
        <w:rPr>
          <w:rFonts w:ascii="GHEA Grapalat" w:eastAsia="Times New Roman" w:hAnsi="GHEA Grapalat" w:cs="Times New Roman"/>
          <w:color w:val="000000"/>
          <w:sz w:val="24"/>
          <w:szCs w:val="24"/>
          <w:shd w:val="clear" w:color="auto" w:fill="FFFFFF"/>
          <w:lang w:val="hy-AM" w:eastAsia="ru-RU"/>
        </w:rPr>
        <w:t xml:space="preserve"> 40, 2013 </w:t>
      </w:r>
      <w:r w:rsidRPr="008E5339">
        <w:rPr>
          <w:rFonts w:ascii="GHEA Grapalat" w:eastAsia="Times New Roman" w:hAnsi="GHEA Grapalat" w:cs="GHEA Grapalat"/>
          <w:color w:val="000000"/>
          <w:sz w:val="24"/>
          <w:szCs w:val="24"/>
          <w:shd w:val="clear" w:color="auto" w:fill="FFFFFF"/>
          <w:lang w:val="hy-AM" w:eastAsia="ru-RU"/>
        </w:rPr>
        <w:t>թվականի</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հունիսի</w:t>
      </w:r>
      <w:r w:rsidRPr="008E5339">
        <w:rPr>
          <w:rFonts w:ascii="GHEA Grapalat" w:eastAsia="Times New Roman" w:hAnsi="GHEA Grapalat" w:cs="Times New Roman"/>
          <w:color w:val="000000"/>
          <w:sz w:val="24"/>
          <w:szCs w:val="24"/>
          <w:shd w:val="clear" w:color="auto" w:fill="FFFFFF"/>
          <w:lang w:val="hy-AM" w:eastAsia="ru-RU"/>
        </w:rPr>
        <w:t xml:space="preserve"> 4, </w:t>
      </w:r>
      <w:r w:rsidRPr="008E5339">
        <w:rPr>
          <w:rFonts w:ascii="GHEA Grapalat" w:eastAsia="Times New Roman" w:hAnsi="GHEA Grapalat" w:cs="GHEA Grapalat"/>
          <w:color w:val="000000"/>
          <w:sz w:val="24"/>
          <w:szCs w:val="24"/>
          <w:shd w:val="clear" w:color="auto" w:fill="FFFFFF"/>
          <w:lang w:val="hy-AM" w:eastAsia="ru-RU"/>
        </w:rPr>
        <w:t>հաջորդող</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հղումների</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հետ</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միասին</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GHEA Grapalat" w:eastAsia="Times New Roman" w:hAnsi="GHEA Grapalat" w:cs="GHEA Grapalat"/>
          <w:color w:val="000000"/>
          <w:sz w:val="24"/>
          <w:szCs w:val="24"/>
          <w:shd w:val="clear" w:color="auto" w:fill="FFFFFF"/>
          <w:lang w:val="hy-AM" w:eastAsia="ru-RU"/>
        </w:rPr>
        <w:t>։</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Նույնը</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կիրառվում</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է</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նաև</w:t>
      </w:r>
      <w:r w:rsidRPr="008E5339">
        <w:rPr>
          <w:rFonts w:ascii="GHEA Grapalat" w:eastAsia="Times New Roman" w:hAnsi="GHEA Grapalat" w:cs="Times New Roman"/>
          <w:color w:val="000000"/>
          <w:sz w:val="24"/>
          <w:szCs w:val="24"/>
          <w:shd w:val="clear" w:color="auto" w:fill="FFFFFF"/>
          <w:lang w:val="hy-AM" w:eastAsia="ru-RU"/>
        </w:rPr>
        <w:t xml:space="preserve"> </w:t>
      </w:r>
      <w:r w:rsidRPr="00EE41E3">
        <w:rPr>
          <w:rFonts w:ascii="GHEA Grapalat" w:eastAsia="Times New Roman" w:hAnsi="GHEA Grapalat" w:cs="GHEA Grapalat"/>
          <w:color w:val="000000"/>
          <w:sz w:val="24"/>
          <w:szCs w:val="24"/>
          <w:highlight w:val="yellow"/>
          <w:shd w:val="clear" w:color="auto" w:fill="FFFFFF"/>
          <w:lang w:val="hy-AM" w:eastAsia="ru-RU"/>
        </w:rPr>
        <w:t>փորձագետ</w:t>
      </w:r>
      <w:r w:rsidRPr="00EE41E3">
        <w:rPr>
          <w:rFonts w:ascii="GHEA Grapalat" w:eastAsia="Times New Roman" w:hAnsi="GHEA Grapalat" w:cs="Times New Roman"/>
          <w:color w:val="000000"/>
          <w:sz w:val="24"/>
          <w:szCs w:val="24"/>
          <w:highlight w:val="yellow"/>
          <w:shd w:val="clear" w:color="auto" w:fill="FFFFFF"/>
          <w:lang w:val="hy-AM" w:eastAsia="ru-RU"/>
        </w:rPr>
        <w:t>-</w:t>
      </w:r>
      <w:r w:rsidRPr="00EE41E3">
        <w:rPr>
          <w:rFonts w:ascii="GHEA Grapalat" w:eastAsia="Times New Roman" w:hAnsi="GHEA Grapalat" w:cs="GHEA Grapalat"/>
          <w:color w:val="000000"/>
          <w:sz w:val="24"/>
          <w:szCs w:val="24"/>
          <w:highlight w:val="yellow"/>
          <w:shd w:val="clear" w:color="auto" w:fill="FFFFFF"/>
          <w:lang w:val="hy-AM" w:eastAsia="ru-RU"/>
        </w:rPr>
        <w:t>վկաների</w:t>
      </w:r>
      <w:r w:rsidRPr="00EE41E3">
        <w:rPr>
          <w:rFonts w:ascii="GHEA Grapalat" w:eastAsia="Times New Roman" w:hAnsi="GHEA Grapalat" w:cs="Times New Roman"/>
          <w:color w:val="000000"/>
          <w:sz w:val="24"/>
          <w:szCs w:val="24"/>
          <w:highlight w:val="yellow"/>
          <w:shd w:val="clear" w:color="auto" w:fill="FFFFFF"/>
          <w:lang w:val="hy-AM" w:eastAsia="ru-RU"/>
        </w:rPr>
        <w:t xml:space="preserve"> </w:t>
      </w:r>
      <w:r w:rsidRPr="00EE41E3">
        <w:rPr>
          <w:rFonts w:ascii="GHEA Grapalat" w:eastAsia="Times New Roman" w:hAnsi="GHEA Grapalat" w:cs="GHEA Grapalat"/>
          <w:color w:val="000000"/>
          <w:sz w:val="24"/>
          <w:szCs w:val="24"/>
          <w:highlight w:val="yellow"/>
          <w:shd w:val="clear" w:color="auto" w:fill="FFFFFF"/>
          <w:lang w:val="hy-AM" w:eastAsia="ru-RU"/>
        </w:rPr>
        <w:t>մասով</w:t>
      </w:r>
      <w:r w:rsidRPr="008E5339">
        <w:rPr>
          <w:rFonts w:ascii="GHEA Grapalat" w:eastAsia="Times New Roman" w:hAnsi="GHEA Grapalat" w:cs="Times New Roman"/>
          <w:color w:val="000000"/>
          <w:sz w:val="24"/>
          <w:szCs w:val="24"/>
          <w:shd w:val="clear" w:color="auto" w:fill="FFFFFF"/>
          <w:lang w:val="hy-AM" w:eastAsia="ru-RU"/>
        </w:rPr>
        <w:t xml:space="preserve"> (տե՛ս</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i/>
          <w:iCs/>
          <w:color w:val="000000"/>
          <w:sz w:val="24"/>
          <w:szCs w:val="24"/>
          <w:shd w:val="clear" w:color="auto" w:fill="FFFFFF"/>
          <w:lang w:val="hy-AM" w:eastAsia="ru-RU"/>
        </w:rPr>
        <w:t>Գրեգաչեվիչի գործը՝ վերևում հիշատակված, § 67).</w:t>
      </w:r>
      <w:r w:rsidRPr="008E5339">
        <w:rPr>
          <w:rFonts w:ascii="Calibri" w:eastAsia="Times New Roman" w:hAnsi="Calibri" w:cs="Calibri"/>
          <w:i/>
          <w:iCs/>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Դատարանի ձևավորված նախադեպային իրավունքի համաձայն՝ պաշտպանության կողմը պետք է ունենա, որպես այդպիսին, ոչ միայն փորձագիտական եզրակացությունն ուսումնասիրելու և վիճարկելու իրավունք, այլ նաև եզրակացությունները նախապատրաստողների վստահելիությունն ուղիղ հարցաքննության միջոցով վիճարկելու իրավունք (տե՛ս, ի թիվս այլ վճիռների,</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i/>
          <w:iCs/>
          <w:color w:val="000000"/>
          <w:sz w:val="24"/>
          <w:szCs w:val="24"/>
          <w:shd w:val="clear" w:color="auto" w:fill="FFFFFF"/>
          <w:lang w:val="hy-AM" w:eastAsia="ru-RU"/>
        </w:rPr>
        <w:t>Բրանդշտեթերն ընդդեմ Ավստրիայի</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GHEA Grapalat" w:eastAsia="Times New Roman" w:hAnsi="GHEA Grapalat" w:cs="Times New Roman"/>
          <w:i/>
          <w:iCs/>
          <w:color w:val="000000"/>
          <w:sz w:val="24"/>
          <w:szCs w:val="24"/>
          <w:shd w:val="clear" w:color="auto" w:fill="FFFFFF"/>
          <w:lang w:val="hy-AM" w:eastAsia="ru-RU"/>
        </w:rPr>
        <w:t>Brandstetter v. Austria</w:t>
      </w:r>
      <w:r w:rsidRPr="008E5339">
        <w:rPr>
          <w:rFonts w:ascii="GHEA Grapalat" w:eastAsia="Times New Roman" w:hAnsi="GHEA Grapalat" w:cs="Times New Roman"/>
          <w:color w:val="000000"/>
          <w:sz w:val="24"/>
          <w:szCs w:val="24"/>
          <w:shd w:val="clear" w:color="auto" w:fill="FFFFFF"/>
          <w:lang w:val="hy-AM" w:eastAsia="ru-RU"/>
        </w:rPr>
        <w:t>], 1991 թվականի օգոստոսի 28, շարք Ա, թիվ211,</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i/>
          <w:iCs/>
          <w:color w:val="000000"/>
          <w:sz w:val="24"/>
          <w:szCs w:val="24"/>
          <w:shd w:val="clear" w:color="auto" w:fill="FFFFFF"/>
          <w:lang w:val="hy-AM" w:eastAsia="ru-RU"/>
        </w:rPr>
        <w:t>Դուրսոնն ընդդեմ Նիդեռլանդների</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GHEA Grapalat" w:eastAsia="Times New Roman" w:hAnsi="GHEA Grapalat" w:cs="Times New Roman"/>
          <w:i/>
          <w:iCs/>
          <w:color w:val="000000"/>
          <w:sz w:val="24"/>
          <w:szCs w:val="24"/>
          <w:shd w:val="clear" w:color="auto" w:fill="FFFFFF"/>
          <w:lang w:val="hy-AM" w:eastAsia="ru-RU"/>
        </w:rPr>
        <w:t>Doorson v. the Netherlands],</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1996</w:t>
      </w:r>
      <w:r w:rsidRPr="008E5339">
        <w:rPr>
          <w:rFonts w:ascii="GHEA Grapalat" w:eastAsia="Times New Roman" w:hAnsi="GHEA Grapalat" w:cs="GHEA Grapalat"/>
          <w:color w:val="000000"/>
          <w:sz w:val="24"/>
          <w:szCs w:val="24"/>
          <w:shd w:val="clear" w:color="auto" w:fill="FFFFFF"/>
          <w:lang w:val="hy-AM" w:eastAsia="ru-RU"/>
        </w:rPr>
        <w:t>թվականի</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մարտի</w:t>
      </w:r>
      <w:r w:rsidRPr="008E5339">
        <w:rPr>
          <w:rFonts w:ascii="GHEA Grapalat" w:eastAsia="Times New Roman" w:hAnsi="GHEA Grapalat" w:cs="Times New Roman"/>
          <w:color w:val="000000"/>
          <w:sz w:val="24"/>
          <w:szCs w:val="24"/>
          <w:shd w:val="clear" w:color="auto" w:fill="FFFFFF"/>
          <w:lang w:val="hy-AM" w:eastAsia="ru-RU"/>
        </w:rPr>
        <w:t xml:space="preserve"> 26, </w:t>
      </w:r>
      <w:r w:rsidRPr="008E5339">
        <w:rPr>
          <w:rFonts w:ascii="GHEA Grapalat" w:eastAsia="Times New Roman" w:hAnsi="GHEA Grapalat" w:cs="GHEA Grapalat"/>
          <w:color w:val="000000"/>
          <w:sz w:val="24"/>
          <w:szCs w:val="24"/>
          <w:shd w:val="clear" w:color="auto" w:fill="FFFFFF"/>
          <w:lang w:val="hy-AM" w:eastAsia="ru-RU"/>
        </w:rPr>
        <w:t>§§</w:t>
      </w:r>
      <w:r w:rsidRPr="008E5339">
        <w:rPr>
          <w:rFonts w:ascii="GHEA Grapalat" w:eastAsia="Times New Roman" w:hAnsi="GHEA Grapalat" w:cs="Times New Roman"/>
          <w:color w:val="000000"/>
          <w:sz w:val="24"/>
          <w:szCs w:val="24"/>
          <w:shd w:val="clear" w:color="auto" w:fill="FFFFFF"/>
          <w:lang w:val="hy-AM" w:eastAsia="ru-RU"/>
        </w:rPr>
        <w:t xml:space="preserve"> 81-82,</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i/>
          <w:iCs/>
          <w:color w:val="000000"/>
          <w:sz w:val="24"/>
          <w:szCs w:val="24"/>
          <w:shd w:val="clear" w:color="auto" w:fill="FFFFFF"/>
          <w:lang w:val="hy-AM" w:eastAsia="ru-RU"/>
        </w:rPr>
        <w:t>Վճիռների և որոշումների մասին զեկույցներ</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1996-II,</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i/>
          <w:iCs/>
          <w:color w:val="000000"/>
          <w:sz w:val="24"/>
          <w:szCs w:val="24"/>
          <w:shd w:val="clear" w:color="auto" w:fill="FFFFFF"/>
          <w:lang w:val="hy-AM" w:eastAsia="ru-RU"/>
        </w:rPr>
        <w:t>Միրիլաշվիլին ընդդեմ Ռուսաստանի [Mirilashvili v. Russia]</w:t>
      </w:r>
      <w:r w:rsidRPr="008E5339">
        <w:rPr>
          <w:rFonts w:ascii="GHEA Grapalat" w:eastAsia="Times New Roman" w:hAnsi="GHEA Grapalat" w:cs="Times New Roman"/>
          <w:color w:val="000000"/>
          <w:sz w:val="24"/>
          <w:szCs w:val="24"/>
          <w:shd w:val="clear" w:color="auto" w:fill="FFFFFF"/>
          <w:lang w:val="hy-AM" w:eastAsia="ru-RU"/>
        </w:rPr>
        <w:t>, թիվ 6293/04, § 158, 2008 թվականի դեկտեմբերի 11, և</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i/>
          <w:iCs/>
          <w:color w:val="000000"/>
          <w:sz w:val="24"/>
          <w:szCs w:val="24"/>
          <w:shd w:val="clear" w:color="auto" w:fill="FFFFFF"/>
          <w:lang w:val="hy-AM" w:eastAsia="ru-RU"/>
        </w:rPr>
        <w:t>Մատիցինան ընդդեմ Ռուսաստանի</w:t>
      </w:r>
      <w:r w:rsidRPr="008E5339">
        <w:rPr>
          <w:rFonts w:ascii="Calibri" w:eastAsia="Times New Roman" w:hAnsi="Calibri" w:cs="Calibri"/>
          <w:i/>
          <w:iCs/>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գործը՝</w:t>
      </w:r>
      <w:r w:rsidRPr="008E5339">
        <w:rPr>
          <w:rFonts w:ascii="Calibri" w:eastAsia="Times New Roman" w:hAnsi="Calibri" w:cs="Calibri"/>
          <w:i/>
          <w:iCs/>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վերևում հիշատակված, § 177)։</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44.</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Սույն գործով դիմումատուն առաջին ատյանի դատարանին հստակորեն հայտնել է, որ ինքը ցանկանում է դատարանում հարցաքննել փորձագետ-</w:t>
      </w:r>
      <w:r w:rsidRPr="008E5339">
        <w:rPr>
          <w:rFonts w:ascii="Arial Unicode" w:eastAsia="Times New Roman" w:hAnsi="Arial Unicode" w:cs="Times New Roman"/>
          <w:color w:val="000000"/>
          <w:spacing w:val="-6"/>
          <w:sz w:val="24"/>
          <w:szCs w:val="24"/>
          <w:shd w:val="clear" w:color="auto" w:fill="FFFFFF"/>
          <w:lang w:val="hy-AM" w:eastAsia="ru-RU"/>
        </w:rPr>
        <w:t>վկաներին մի շարք այնպիսի հարցեր պարզաբանելու համար, որոնք պահանջում են մասնագիտական</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գիտելիքներ (տե՛ս վերևում՝ 20-րդ պարբերությունը): Դատարանի համար այդ պահանջը ձևակերպված է եղել բավականին հստակորեն՝ բացատրելու համար, թե ինչու էր դիմումատուի համար կարևոր տվյալ վկաներին լսելը։</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45.</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Առաջին ատյանի դատարանը մերժել էր դիմումատուի խնդրանքը՝ գտնելով, որ Ա.Դ.-ի կողմից ներկայացված առաջին եզրակացության բովանդակությունն արդեն իսկ պարզաբանվել էր դրան հաջորդող փորձագիտական եզրակացություններով, և հետևաբար փորձագետ-վկաներին</w:t>
      </w:r>
      <w:r w:rsidRPr="008E5339">
        <w:rPr>
          <w:rFonts w:ascii="Calibri" w:eastAsia="Times New Roman" w:hAnsi="Calibri" w:cs="Calibri"/>
          <w:color w:val="000000"/>
          <w:sz w:val="24"/>
          <w:szCs w:val="24"/>
          <w:shd w:val="clear" w:color="auto" w:fill="FFFFFF"/>
          <w:lang w:val="hy-AM" w:eastAsia="ru-RU"/>
        </w:rPr>
        <w:t> </w:t>
      </w:r>
      <w:r w:rsidRPr="008E5339">
        <w:rPr>
          <w:rFonts w:ascii="Arial Unicode" w:eastAsia="Times New Roman" w:hAnsi="Arial Unicode" w:cs="Times New Roman"/>
          <w:color w:val="000000"/>
          <w:spacing w:val="-6"/>
          <w:sz w:val="24"/>
          <w:szCs w:val="24"/>
          <w:shd w:val="clear" w:color="auto" w:fill="FFFFFF"/>
          <w:lang w:val="hy-AM" w:eastAsia="ru-RU"/>
        </w:rPr>
        <w:t xml:space="preserve">կանչելու անհրաժեշտություն չկար։ Արդյունքում </w:t>
      </w:r>
      <w:r w:rsidRPr="008E5339">
        <w:rPr>
          <w:rFonts w:ascii="Arial Unicode" w:eastAsia="Times New Roman" w:hAnsi="Arial Unicode" w:cs="Times New Roman"/>
          <w:color w:val="000000"/>
          <w:spacing w:val="-6"/>
          <w:sz w:val="24"/>
          <w:szCs w:val="24"/>
          <w:highlight w:val="yellow"/>
          <w:shd w:val="clear" w:color="auto" w:fill="FFFFFF"/>
          <w:lang w:val="hy-AM" w:eastAsia="ru-RU"/>
        </w:rPr>
        <w:t>փորձագետ-վկաներ Ա.Դ.-ն, Ս.Հ.-ն և Ս.Ս.-ն առաջին</w:t>
      </w:r>
      <w:r w:rsidRPr="008E5339">
        <w:rPr>
          <w:rFonts w:ascii="Calibri" w:eastAsia="Times New Roman" w:hAnsi="Calibri" w:cs="Calibri"/>
          <w:color w:val="000000"/>
          <w:sz w:val="24"/>
          <w:szCs w:val="24"/>
          <w:highlight w:val="yellow"/>
          <w:shd w:val="clear" w:color="auto" w:fill="FFFFFF"/>
          <w:lang w:val="hy-AM" w:eastAsia="ru-RU"/>
        </w:rPr>
        <w:t> </w:t>
      </w:r>
      <w:r w:rsidRPr="008E5339">
        <w:rPr>
          <w:rFonts w:ascii="GHEA Grapalat" w:eastAsia="Times New Roman" w:hAnsi="GHEA Grapalat" w:cs="GHEA Grapalat"/>
          <w:color w:val="000000"/>
          <w:sz w:val="24"/>
          <w:szCs w:val="24"/>
          <w:highlight w:val="yellow"/>
          <w:shd w:val="clear" w:color="auto" w:fill="FFFFFF"/>
          <w:lang w:val="hy-AM" w:eastAsia="ru-RU"/>
        </w:rPr>
        <w:t>ատյանի</w:t>
      </w:r>
      <w:r w:rsidRPr="008E5339">
        <w:rPr>
          <w:rFonts w:ascii="GHEA Grapalat" w:eastAsia="Times New Roman" w:hAnsi="GHEA Grapalat" w:cs="Times New Roman"/>
          <w:color w:val="000000"/>
          <w:sz w:val="24"/>
          <w:szCs w:val="24"/>
          <w:highlight w:val="yellow"/>
          <w:shd w:val="clear" w:color="auto" w:fill="FFFFFF"/>
          <w:lang w:val="hy-AM" w:eastAsia="ru-RU"/>
        </w:rPr>
        <w:t xml:space="preserve"> </w:t>
      </w:r>
      <w:r w:rsidRPr="008E5339">
        <w:rPr>
          <w:rFonts w:ascii="GHEA Grapalat" w:eastAsia="Times New Roman" w:hAnsi="GHEA Grapalat" w:cs="GHEA Grapalat"/>
          <w:color w:val="000000"/>
          <w:sz w:val="24"/>
          <w:szCs w:val="24"/>
          <w:highlight w:val="yellow"/>
          <w:shd w:val="clear" w:color="auto" w:fill="FFFFFF"/>
          <w:lang w:val="hy-AM" w:eastAsia="ru-RU"/>
        </w:rPr>
        <w:t>դատարանում</w:t>
      </w:r>
      <w:r w:rsidRPr="008E5339">
        <w:rPr>
          <w:rFonts w:ascii="GHEA Grapalat" w:eastAsia="Times New Roman" w:hAnsi="GHEA Grapalat" w:cs="Times New Roman"/>
          <w:color w:val="000000"/>
          <w:sz w:val="24"/>
          <w:szCs w:val="24"/>
          <w:highlight w:val="yellow"/>
          <w:shd w:val="clear" w:color="auto" w:fill="FFFFFF"/>
          <w:lang w:val="hy-AM" w:eastAsia="ru-RU"/>
        </w:rPr>
        <w:t xml:space="preserve"> </w:t>
      </w:r>
      <w:r w:rsidRPr="008E5339">
        <w:rPr>
          <w:rFonts w:ascii="GHEA Grapalat" w:eastAsia="Times New Roman" w:hAnsi="GHEA Grapalat" w:cs="GHEA Grapalat"/>
          <w:color w:val="000000"/>
          <w:sz w:val="24"/>
          <w:szCs w:val="24"/>
          <w:highlight w:val="yellow"/>
          <w:shd w:val="clear" w:color="auto" w:fill="FFFFFF"/>
          <w:lang w:val="hy-AM" w:eastAsia="ru-RU"/>
        </w:rPr>
        <w:t>չեն</w:t>
      </w:r>
      <w:r w:rsidRPr="008E5339">
        <w:rPr>
          <w:rFonts w:ascii="GHEA Grapalat" w:eastAsia="Times New Roman" w:hAnsi="GHEA Grapalat" w:cs="Times New Roman"/>
          <w:color w:val="000000"/>
          <w:sz w:val="24"/>
          <w:szCs w:val="24"/>
          <w:highlight w:val="yellow"/>
          <w:shd w:val="clear" w:color="auto" w:fill="FFFFFF"/>
          <w:lang w:val="hy-AM" w:eastAsia="ru-RU"/>
        </w:rPr>
        <w:t xml:space="preserve"> </w:t>
      </w:r>
      <w:r w:rsidRPr="008E5339">
        <w:rPr>
          <w:rFonts w:ascii="GHEA Grapalat" w:eastAsia="Times New Roman" w:hAnsi="GHEA Grapalat" w:cs="GHEA Grapalat"/>
          <w:color w:val="000000"/>
          <w:sz w:val="24"/>
          <w:szCs w:val="24"/>
          <w:highlight w:val="yellow"/>
          <w:shd w:val="clear" w:color="auto" w:fill="FFFFFF"/>
          <w:lang w:val="hy-AM" w:eastAsia="ru-RU"/>
        </w:rPr>
        <w:t>լսվել</w:t>
      </w:r>
      <w:r w:rsidRPr="008E5339">
        <w:rPr>
          <w:rFonts w:ascii="GHEA Grapalat" w:eastAsia="Times New Roman" w:hAnsi="GHEA Grapalat" w:cs="Times New Roman"/>
          <w:color w:val="000000"/>
          <w:sz w:val="24"/>
          <w:szCs w:val="24"/>
          <w:highlight w:val="yellow"/>
          <w:shd w:val="clear" w:color="auto" w:fill="FFFFFF"/>
          <w:lang w:val="hy-AM" w:eastAsia="ru-RU"/>
        </w:rPr>
        <w:t xml:space="preserve">, </w:t>
      </w:r>
      <w:r w:rsidRPr="008E5339">
        <w:rPr>
          <w:rFonts w:ascii="GHEA Grapalat" w:eastAsia="Times New Roman" w:hAnsi="GHEA Grapalat" w:cs="GHEA Grapalat"/>
          <w:color w:val="000000"/>
          <w:sz w:val="24"/>
          <w:szCs w:val="24"/>
          <w:highlight w:val="yellow"/>
          <w:shd w:val="clear" w:color="auto" w:fill="FFFFFF"/>
          <w:lang w:val="hy-AM" w:eastAsia="ru-RU"/>
        </w:rPr>
        <w:t>ոչ</w:t>
      </w:r>
      <w:r w:rsidRPr="008E5339">
        <w:rPr>
          <w:rFonts w:ascii="GHEA Grapalat" w:eastAsia="Times New Roman" w:hAnsi="GHEA Grapalat" w:cs="Times New Roman"/>
          <w:color w:val="000000"/>
          <w:sz w:val="24"/>
          <w:szCs w:val="24"/>
          <w:highlight w:val="yellow"/>
          <w:shd w:val="clear" w:color="auto" w:fill="FFFFFF"/>
          <w:lang w:val="hy-AM" w:eastAsia="ru-RU"/>
        </w:rPr>
        <w:t xml:space="preserve"> </w:t>
      </w:r>
      <w:r w:rsidRPr="008E5339">
        <w:rPr>
          <w:rFonts w:ascii="GHEA Grapalat" w:eastAsia="Times New Roman" w:hAnsi="GHEA Grapalat" w:cs="GHEA Grapalat"/>
          <w:color w:val="000000"/>
          <w:sz w:val="24"/>
          <w:szCs w:val="24"/>
          <w:highlight w:val="yellow"/>
          <w:shd w:val="clear" w:color="auto" w:fill="FFFFFF"/>
          <w:lang w:val="hy-AM" w:eastAsia="ru-RU"/>
        </w:rPr>
        <w:t>էլ</w:t>
      </w:r>
      <w:r w:rsidRPr="008E5339">
        <w:rPr>
          <w:rFonts w:ascii="GHEA Grapalat" w:eastAsia="Times New Roman" w:hAnsi="GHEA Grapalat" w:cs="Times New Roman"/>
          <w:color w:val="000000"/>
          <w:sz w:val="24"/>
          <w:szCs w:val="24"/>
          <w:highlight w:val="yellow"/>
          <w:shd w:val="clear" w:color="auto" w:fill="FFFFFF"/>
          <w:lang w:val="hy-AM" w:eastAsia="ru-RU"/>
        </w:rPr>
        <w:t xml:space="preserve"> </w:t>
      </w:r>
      <w:r w:rsidRPr="008E5339">
        <w:rPr>
          <w:rFonts w:ascii="GHEA Grapalat" w:eastAsia="Times New Roman" w:hAnsi="GHEA Grapalat" w:cs="GHEA Grapalat"/>
          <w:color w:val="000000"/>
          <w:sz w:val="24"/>
          <w:szCs w:val="24"/>
          <w:highlight w:val="yellow"/>
          <w:shd w:val="clear" w:color="auto" w:fill="FFFFFF"/>
          <w:lang w:val="hy-AM" w:eastAsia="ru-RU"/>
        </w:rPr>
        <w:t>մյուս</w:t>
      </w:r>
      <w:r w:rsidRPr="008E5339">
        <w:rPr>
          <w:rFonts w:ascii="GHEA Grapalat" w:eastAsia="Times New Roman" w:hAnsi="GHEA Grapalat" w:cs="Times New Roman"/>
          <w:color w:val="000000"/>
          <w:sz w:val="24"/>
          <w:szCs w:val="24"/>
          <w:highlight w:val="yellow"/>
          <w:shd w:val="clear" w:color="auto" w:fill="FFFFFF"/>
          <w:lang w:val="hy-AM" w:eastAsia="ru-RU"/>
        </w:rPr>
        <w:t xml:space="preserve"> </w:t>
      </w:r>
      <w:r w:rsidRPr="008E5339">
        <w:rPr>
          <w:rFonts w:ascii="GHEA Grapalat" w:eastAsia="Times New Roman" w:hAnsi="GHEA Grapalat" w:cs="GHEA Grapalat"/>
          <w:color w:val="000000"/>
          <w:sz w:val="24"/>
          <w:szCs w:val="24"/>
          <w:highlight w:val="yellow"/>
          <w:shd w:val="clear" w:color="auto" w:fill="FFFFFF"/>
          <w:lang w:val="hy-AM" w:eastAsia="ru-RU"/>
        </w:rPr>
        <w:t>երեք</w:t>
      </w:r>
      <w:r w:rsidRPr="008E5339">
        <w:rPr>
          <w:rFonts w:ascii="GHEA Grapalat" w:eastAsia="Times New Roman" w:hAnsi="GHEA Grapalat" w:cs="Times New Roman"/>
          <w:color w:val="000000"/>
          <w:sz w:val="24"/>
          <w:szCs w:val="24"/>
          <w:highlight w:val="yellow"/>
          <w:shd w:val="clear" w:color="auto" w:fill="FFFFFF"/>
          <w:lang w:val="hy-AM" w:eastAsia="ru-RU"/>
        </w:rPr>
        <w:t xml:space="preserve"> </w:t>
      </w:r>
      <w:r w:rsidRPr="008E5339">
        <w:rPr>
          <w:rFonts w:ascii="GHEA Grapalat" w:eastAsia="Times New Roman" w:hAnsi="GHEA Grapalat" w:cs="GHEA Grapalat"/>
          <w:color w:val="000000"/>
          <w:sz w:val="24"/>
          <w:szCs w:val="24"/>
          <w:highlight w:val="yellow"/>
          <w:shd w:val="clear" w:color="auto" w:fill="FFFFFF"/>
          <w:lang w:val="hy-AM" w:eastAsia="ru-RU"/>
        </w:rPr>
        <w:t>փորձագետ</w:t>
      </w:r>
      <w:r w:rsidRPr="008E5339">
        <w:rPr>
          <w:rFonts w:ascii="GHEA Grapalat" w:eastAsia="Times New Roman" w:hAnsi="GHEA Grapalat" w:cs="Times New Roman"/>
          <w:color w:val="000000"/>
          <w:sz w:val="24"/>
          <w:szCs w:val="24"/>
          <w:highlight w:val="yellow"/>
          <w:shd w:val="clear" w:color="auto" w:fill="FFFFFF"/>
          <w:lang w:val="hy-AM" w:eastAsia="ru-RU"/>
        </w:rPr>
        <w:t>-</w:t>
      </w:r>
      <w:r w:rsidRPr="008E5339">
        <w:rPr>
          <w:rFonts w:ascii="GHEA Grapalat" w:eastAsia="Times New Roman" w:hAnsi="GHEA Grapalat" w:cs="GHEA Grapalat"/>
          <w:color w:val="000000"/>
          <w:sz w:val="24"/>
          <w:szCs w:val="24"/>
          <w:highlight w:val="yellow"/>
          <w:shd w:val="clear" w:color="auto" w:fill="FFFFFF"/>
          <w:lang w:val="hy-AM" w:eastAsia="ru-RU"/>
        </w:rPr>
        <w:t>վկաներն</w:t>
      </w:r>
      <w:r w:rsidRPr="008E5339">
        <w:rPr>
          <w:rFonts w:ascii="GHEA Grapalat" w:eastAsia="Times New Roman" w:hAnsi="GHEA Grapalat" w:cs="Times New Roman"/>
          <w:color w:val="000000"/>
          <w:sz w:val="24"/>
          <w:szCs w:val="24"/>
          <w:highlight w:val="yellow"/>
          <w:shd w:val="clear" w:color="auto" w:fill="FFFFFF"/>
          <w:lang w:val="hy-AM" w:eastAsia="ru-RU"/>
        </w:rPr>
        <w:t xml:space="preserve"> </w:t>
      </w:r>
      <w:r w:rsidRPr="008E5339">
        <w:rPr>
          <w:rFonts w:ascii="GHEA Grapalat" w:eastAsia="Times New Roman" w:hAnsi="GHEA Grapalat" w:cs="GHEA Grapalat"/>
          <w:color w:val="000000"/>
          <w:sz w:val="24"/>
          <w:szCs w:val="24"/>
          <w:highlight w:val="yellow"/>
          <w:shd w:val="clear" w:color="auto" w:fill="FFFFFF"/>
          <w:lang w:val="hy-AM" w:eastAsia="ru-RU"/>
        </w:rPr>
        <w:t>են</w:t>
      </w:r>
      <w:r w:rsidRPr="008E5339">
        <w:rPr>
          <w:rFonts w:ascii="GHEA Grapalat" w:eastAsia="Times New Roman" w:hAnsi="GHEA Grapalat" w:cs="Times New Roman"/>
          <w:color w:val="000000"/>
          <w:sz w:val="24"/>
          <w:szCs w:val="24"/>
          <w:highlight w:val="yellow"/>
          <w:shd w:val="clear" w:color="auto" w:fill="FFFFFF"/>
          <w:lang w:val="hy-AM" w:eastAsia="ru-RU"/>
        </w:rPr>
        <w:t xml:space="preserve"> </w:t>
      </w:r>
      <w:r w:rsidRPr="008E5339">
        <w:rPr>
          <w:rFonts w:ascii="GHEA Grapalat" w:eastAsia="Times New Roman" w:hAnsi="GHEA Grapalat" w:cs="GHEA Grapalat"/>
          <w:color w:val="000000"/>
          <w:sz w:val="24"/>
          <w:szCs w:val="24"/>
          <w:highlight w:val="yellow"/>
          <w:shd w:val="clear" w:color="auto" w:fill="FFFFFF"/>
          <w:lang w:val="hy-AM" w:eastAsia="ru-RU"/>
        </w:rPr>
        <w:t>դատարանում</w:t>
      </w:r>
      <w:r w:rsidRPr="008E5339">
        <w:rPr>
          <w:rFonts w:ascii="GHEA Grapalat" w:eastAsia="Times New Roman" w:hAnsi="GHEA Grapalat" w:cs="Times New Roman"/>
          <w:color w:val="000000"/>
          <w:sz w:val="24"/>
          <w:szCs w:val="24"/>
          <w:highlight w:val="yellow"/>
          <w:shd w:val="clear" w:color="auto" w:fill="FFFFFF"/>
          <w:lang w:val="hy-AM" w:eastAsia="ru-RU"/>
        </w:rPr>
        <w:t xml:space="preserve"> </w:t>
      </w:r>
      <w:r w:rsidRPr="008E5339">
        <w:rPr>
          <w:rFonts w:ascii="GHEA Grapalat" w:eastAsia="Times New Roman" w:hAnsi="GHEA Grapalat" w:cs="GHEA Grapalat"/>
          <w:color w:val="000000"/>
          <w:sz w:val="24"/>
          <w:szCs w:val="24"/>
          <w:highlight w:val="yellow"/>
          <w:shd w:val="clear" w:color="auto" w:fill="FFFFFF"/>
          <w:lang w:val="hy-AM" w:eastAsia="ru-RU"/>
        </w:rPr>
        <w:t>լսվել</w:t>
      </w:r>
      <w:r w:rsidRPr="008E5339">
        <w:rPr>
          <w:rFonts w:ascii="GHEA Grapalat" w:eastAsia="Times New Roman" w:hAnsi="GHEA Grapalat" w:cs="GHEA Grapalat"/>
          <w:color w:val="000000"/>
          <w:sz w:val="24"/>
          <w:szCs w:val="24"/>
          <w:shd w:val="clear" w:color="auto" w:fill="FFFFFF"/>
          <w:lang w:val="hy-AM" w:eastAsia="ru-RU"/>
        </w:rPr>
        <w:t>։</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Ըստ</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երևույթին</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մինչդատական</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վարույթի</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ընթացքում</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հարցաքննվել</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են</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միայն</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փորձագետ</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GHEA Grapalat" w:eastAsia="Times New Roman" w:hAnsi="GHEA Grapalat" w:cs="GHEA Grapalat"/>
          <w:color w:val="000000"/>
          <w:sz w:val="24"/>
          <w:szCs w:val="24"/>
          <w:shd w:val="clear" w:color="auto" w:fill="FFFFFF"/>
          <w:lang w:val="hy-AM" w:eastAsia="ru-RU"/>
        </w:rPr>
        <w:t>վկաներ</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Ա</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GHEA Grapalat" w:eastAsia="Times New Roman" w:hAnsi="GHEA Grapalat" w:cs="GHEA Grapalat"/>
          <w:color w:val="000000"/>
          <w:sz w:val="24"/>
          <w:szCs w:val="24"/>
          <w:shd w:val="clear" w:color="auto" w:fill="FFFFFF"/>
          <w:lang w:val="hy-AM" w:eastAsia="ru-RU"/>
        </w:rPr>
        <w:t>Դ</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GHEA Grapalat" w:eastAsia="Times New Roman" w:hAnsi="GHEA Grapalat" w:cs="GHEA Grapalat"/>
          <w:color w:val="000000"/>
          <w:sz w:val="24"/>
          <w:szCs w:val="24"/>
          <w:shd w:val="clear" w:color="auto" w:fill="FFFFFF"/>
          <w:lang w:val="hy-AM" w:eastAsia="ru-RU"/>
        </w:rPr>
        <w:t>ն</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Գ</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GHEA Grapalat" w:eastAsia="Times New Roman" w:hAnsi="GHEA Grapalat" w:cs="GHEA Grapalat"/>
          <w:color w:val="000000"/>
          <w:sz w:val="24"/>
          <w:szCs w:val="24"/>
          <w:shd w:val="clear" w:color="auto" w:fill="FFFFFF"/>
          <w:lang w:val="hy-AM" w:eastAsia="ru-RU"/>
        </w:rPr>
        <w:t>Հ</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GHEA Grapalat" w:eastAsia="Times New Roman" w:hAnsi="GHEA Grapalat" w:cs="GHEA Grapalat"/>
          <w:color w:val="000000"/>
          <w:sz w:val="24"/>
          <w:szCs w:val="24"/>
          <w:shd w:val="clear" w:color="auto" w:fill="FFFFFF"/>
          <w:lang w:val="hy-AM" w:eastAsia="ru-RU"/>
        </w:rPr>
        <w:t>ն</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և</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Մ</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GHEA Grapalat" w:eastAsia="Times New Roman" w:hAnsi="GHEA Grapalat" w:cs="GHEA Grapalat"/>
          <w:color w:val="000000"/>
          <w:sz w:val="24"/>
          <w:szCs w:val="24"/>
          <w:shd w:val="clear" w:color="auto" w:fill="FFFFFF"/>
          <w:lang w:val="hy-AM" w:eastAsia="ru-RU"/>
        </w:rPr>
        <w:t>Ա</w:t>
      </w:r>
      <w:r w:rsidRPr="008E5339">
        <w:rPr>
          <w:rFonts w:ascii="GHEA Grapalat" w:eastAsia="Times New Roman" w:hAnsi="GHEA Grapalat" w:cs="Times New Roman"/>
          <w:color w:val="000000"/>
          <w:sz w:val="24"/>
          <w:szCs w:val="24"/>
          <w:shd w:val="clear" w:color="auto" w:fill="FFFFFF"/>
          <w:lang w:val="hy-AM" w:eastAsia="ru-RU"/>
        </w:rPr>
        <w:t>.-</w:t>
      </w:r>
      <w:r w:rsidRPr="008E5339">
        <w:rPr>
          <w:rFonts w:ascii="GHEA Grapalat" w:eastAsia="Times New Roman" w:hAnsi="GHEA Grapalat" w:cs="GHEA Grapalat"/>
          <w:color w:val="000000"/>
          <w:sz w:val="24"/>
          <w:szCs w:val="24"/>
          <w:shd w:val="clear" w:color="auto" w:fill="FFFFFF"/>
          <w:lang w:val="hy-AM" w:eastAsia="ru-RU"/>
        </w:rPr>
        <w:t>ն։</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Այնուամենայնիվ</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չկա</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որևէ</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տվյալ</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որ</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դիմումատուն</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երբևէ</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ուն</w:t>
      </w:r>
      <w:r w:rsidRPr="008E5339">
        <w:rPr>
          <w:rFonts w:ascii="GHEA Grapalat" w:eastAsia="Times New Roman" w:hAnsi="GHEA Grapalat" w:cs="Times New Roman"/>
          <w:color w:val="000000"/>
          <w:sz w:val="24"/>
          <w:szCs w:val="24"/>
          <w:shd w:val="clear" w:color="auto" w:fill="FFFFFF"/>
          <w:lang w:val="hy-AM" w:eastAsia="ru-RU"/>
        </w:rPr>
        <w:t>եցել է այդ փորձագետ-վկաներին առերես [հարցաքննելու] և քննության փուլում նրանց եզրակացությունները վիճարկելու հնարավորություն։</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46.</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 xml:space="preserve">Դատարանը համարում է, որ դիմումատուի՝ առաջին ատյանի դատարանում Ա.Դ.-ին, Ս.Հ.-ին և Ս.Ս.-ին լսելու խնդրանքն անհիմն չէր։ Ընդհակառակը, Դատարանը գտնում է, որ այդ փորձագիտական եզրակացությունները գործի համար </w:t>
      </w:r>
      <w:r w:rsidRPr="008E5339">
        <w:rPr>
          <w:rFonts w:ascii="GHEA Grapalat" w:eastAsia="Times New Roman" w:hAnsi="GHEA Grapalat" w:cs="Times New Roman"/>
          <w:color w:val="000000"/>
          <w:sz w:val="24"/>
          <w:szCs w:val="24"/>
          <w:highlight w:val="yellow"/>
          <w:shd w:val="clear" w:color="auto" w:fill="FFFFFF"/>
          <w:lang w:val="hy-AM" w:eastAsia="ru-RU"/>
        </w:rPr>
        <w:t>հիմնարար նշանակություն ունեին</w:t>
      </w:r>
      <w:r w:rsidRPr="008E5339">
        <w:rPr>
          <w:rFonts w:ascii="GHEA Grapalat" w:eastAsia="Times New Roman" w:hAnsi="GHEA Grapalat" w:cs="Times New Roman"/>
          <w:color w:val="000000"/>
          <w:sz w:val="24"/>
          <w:szCs w:val="24"/>
          <w:shd w:val="clear" w:color="auto" w:fill="FFFFFF"/>
          <w:lang w:val="hy-AM" w:eastAsia="ru-RU"/>
        </w:rPr>
        <w:t xml:space="preserve">։ Հիմնվելով այդ ապացույցների վրա՝ ներպետական դատարանները պետք է որոշում կայացնեին՝ արդյոք քույրերի մահը եղել է դժբախտ պատահար, թե դիտավորությամբ կատարված սպանություն։ Դիմումատուի խնդրանքն անհիմն չէր նաև՝ հաշվի առնելով այն հանգամանքը, որ նա դատապարտվում էր ցմահ ազատազրկման։ Դատական քննության ժամանակ փորձագետ-վկաներին չկանչելով և </w:t>
      </w:r>
      <w:r w:rsidRPr="008E5339">
        <w:rPr>
          <w:rFonts w:ascii="GHEA Grapalat" w:eastAsia="Times New Roman" w:hAnsi="GHEA Grapalat" w:cs="Times New Roman"/>
          <w:color w:val="000000"/>
          <w:sz w:val="24"/>
          <w:szCs w:val="24"/>
          <w:shd w:val="clear" w:color="auto" w:fill="FFFFFF"/>
          <w:lang w:val="hy-AM" w:eastAsia="ru-RU"/>
        </w:rPr>
        <w:lastRenderedPageBreak/>
        <w:t>նրանց չհարցաքննելով՝ առաջին ատյա</w:t>
      </w:r>
      <w:bookmarkStart w:id="0" w:name="_GoBack"/>
      <w:bookmarkEnd w:id="0"/>
      <w:r w:rsidRPr="008E5339">
        <w:rPr>
          <w:rFonts w:ascii="GHEA Grapalat" w:eastAsia="Times New Roman" w:hAnsi="GHEA Grapalat" w:cs="Times New Roman"/>
          <w:color w:val="000000"/>
          <w:sz w:val="24"/>
          <w:szCs w:val="24"/>
          <w:shd w:val="clear" w:color="auto" w:fill="FFFFFF"/>
          <w:lang w:val="hy-AM" w:eastAsia="ru-RU"/>
        </w:rPr>
        <w:t>նի դատարանն իր եզրակացությունները կատարելիս հիմնվել է փորձագետ-վկաների ցուցմունքների վրա, որոնք երբեք դատական նիստերի ժամանակ չեն ուսումնասիրվել (տե՛ս,իհակադրություն դրա,</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i/>
          <w:iCs/>
          <w:color w:val="000000"/>
          <w:sz w:val="24"/>
          <w:szCs w:val="24"/>
          <w:shd w:val="clear" w:color="auto" w:fill="FFFFFF"/>
          <w:lang w:val="hy-AM" w:eastAsia="ru-RU"/>
        </w:rPr>
        <w:t>Կաշլևն ընդդեմ Էստոնիայի</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i/>
          <w:iCs/>
          <w:color w:val="000000"/>
          <w:sz w:val="24"/>
          <w:szCs w:val="24"/>
          <w:shd w:val="clear" w:color="auto" w:fill="FFFFFF"/>
          <w:lang w:val="hy-AM" w:eastAsia="ru-RU"/>
        </w:rPr>
        <w:t>[Kashlev v. Estonia]</w:t>
      </w:r>
      <w:r w:rsidRPr="008E5339">
        <w:rPr>
          <w:rFonts w:ascii="GHEA Grapalat" w:eastAsia="Times New Roman" w:hAnsi="GHEA Grapalat" w:cs="Times New Roman"/>
          <w:color w:val="000000"/>
          <w:sz w:val="24"/>
          <w:szCs w:val="24"/>
          <w:shd w:val="clear" w:color="auto" w:fill="FFFFFF"/>
          <w:lang w:val="hy-AM" w:eastAsia="ru-RU"/>
        </w:rPr>
        <w:t>, թիվ22574/08, § 47, 2016 թվականի ապրիլի 26)։</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47.</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Տվյալ հանգամանքներում այն փաստը, որ Քրեական դատարանն անձամբ չի լսել փորձագետ-վկաներին, որոնց ցուցմունքները հետագայում օգտագործվել են դիմումատուի դեմ, կարող էր մեծապես ազդել դիմումատուի՝ արդար դատաքննության իրավունքի, մասնավորապես՝ «մրցակցային դատավարության» և «կողմերի հավասարության» երաշխիքների վրա։ Ուստի տեղի է ունեցել Կոնվենցիայի 6-րդ հոդվածի 1-ին կետի և 3-րդ կետի «դ» ենթակետի խախտում։</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II.</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ԿՈՆՎԵՆՑԻԱՅԻ 41-ՐԴ ՀՈԴՎԱԾԻ ԿԻՐԱՌՈԻՄԸ</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48.</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Կոնվենցիայի 41-րդ հոդվածի համաձայն՝</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«Եթե Դատարանը գտնում է, որ տեղի է ունեցել Կոնվենցիայի կամ դրան կից արձանագրությունների խախտում, իսկ համապատասխան Բարձր պայմանավորվող կողմի ներպետական իրավունքն ընձեռում է միայն մասնակի հատուցման հնարավորություն, ապա Դատարանը որոշում է, անհրաժեշտության դեպքում, տուժած կողմին արդարացի փոխհատուցում տրամադրել»։</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b/>
          <w:bCs/>
          <w:color w:val="000000"/>
          <w:sz w:val="24"/>
          <w:szCs w:val="24"/>
          <w:shd w:val="clear" w:color="auto" w:fill="FFFFFF"/>
          <w:lang w:val="hy-AM" w:eastAsia="ru-RU"/>
        </w:rPr>
        <w:t>Ա.</w:t>
      </w:r>
      <w:r w:rsidRPr="008E5339">
        <w:rPr>
          <w:rFonts w:ascii="Calibri" w:eastAsia="Times New Roman" w:hAnsi="Calibri" w:cs="Calibri"/>
          <w:b/>
          <w:bCs/>
          <w:color w:val="000000"/>
          <w:sz w:val="24"/>
          <w:szCs w:val="24"/>
          <w:shd w:val="clear" w:color="auto" w:fill="FFFFFF"/>
          <w:lang w:val="hy-AM" w:eastAsia="ru-RU"/>
        </w:rPr>
        <w:t> </w:t>
      </w:r>
      <w:r w:rsidRPr="008E5339">
        <w:rPr>
          <w:rFonts w:ascii="GHEA Grapalat" w:eastAsia="Times New Roman" w:hAnsi="GHEA Grapalat" w:cs="Times New Roman"/>
          <w:b/>
          <w:bCs/>
          <w:color w:val="000000"/>
          <w:sz w:val="24"/>
          <w:szCs w:val="24"/>
          <w:shd w:val="clear" w:color="auto" w:fill="FFFFFF"/>
          <w:lang w:val="hy-AM" w:eastAsia="ru-RU"/>
        </w:rPr>
        <w:t>Վնասը</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49.</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Դիմումատուն պահանջել է 15000 եվրո՝ որպես ոչ նյութական վնասի հատուցում։</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50.</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Կառավարությունը համարել է, որ դիմումատուի պահանջը ոչ</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նյութական վնասի մասով հիմնավորված չէ և չափազանցված է և պետք է մերժվի: Դիմումատուի կողմից ներկայացված ոչ նյութական վնասի վերաբերյալ պահանջը կարող է փոխհատուցվել՝ խախտում արձանագրելու միջոցով։</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51.</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Դատարանը դիմումատուին շնորհում է 900 եվրո՝ որպես ոչ նյութական վնասի փոխհատուցում։</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b/>
          <w:bCs/>
          <w:color w:val="000000"/>
          <w:sz w:val="24"/>
          <w:szCs w:val="24"/>
          <w:shd w:val="clear" w:color="auto" w:fill="FFFFFF"/>
          <w:lang w:val="hy-AM" w:eastAsia="ru-RU"/>
        </w:rPr>
        <w:t>Բ.</w:t>
      </w:r>
      <w:r w:rsidRPr="008E5339">
        <w:rPr>
          <w:rFonts w:ascii="Calibri" w:eastAsia="Times New Roman" w:hAnsi="Calibri" w:cs="Calibri"/>
          <w:b/>
          <w:bCs/>
          <w:color w:val="000000"/>
          <w:sz w:val="24"/>
          <w:szCs w:val="24"/>
          <w:shd w:val="clear" w:color="auto" w:fill="FFFFFF"/>
          <w:lang w:val="hy-AM" w:eastAsia="ru-RU"/>
        </w:rPr>
        <w:t> </w:t>
      </w:r>
      <w:r w:rsidRPr="008E5339">
        <w:rPr>
          <w:rFonts w:ascii="GHEA Grapalat" w:eastAsia="Times New Roman" w:hAnsi="GHEA Grapalat" w:cs="Times New Roman"/>
          <w:b/>
          <w:bCs/>
          <w:color w:val="000000"/>
          <w:sz w:val="24"/>
          <w:szCs w:val="24"/>
          <w:shd w:val="clear" w:color="auto" w:fill="FFFFFF"/>
          <w:lang w:val="hy-AM" w:eastAsia="ru-RU"/>
        </w:rPr>
        <w:t>Ծախսերը և ծախքերը</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52.</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Դիմումատուն նաև պահանջել է 7200 եվրո՝ Դատարանում կրած ծախսերի և ծախքերի մասով, որը պետք է անմիջականորեն վճարվի իր ներկայացուցիչների հաշվեհամարին։</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53.</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Կառավարությունը համարել է, որ դիմումատուի կողմից պահանջված գումարը չափազանցված է և հիմնված է փաստաբանի վճարի՝ չափազանց բարձր սակագնի վրա։ Դիմումատուն իր պահանջը հիմնավորելու համար չիներկայացրել իր ներկայացուցիչների հետ կնքված որևէ համաձայնություն։</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54.</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Հաշվի առնելով իր տրամադրության տակ եղած փաստաթղթերը և Դատարանի նախադեպային իրավունքը՝ Դատարանը մերժում է ծախսերի և ծախքերի մասով պահանջը` հաստատող համապատասխան փաստաթղթերի բացակայության պատճառով:</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b/>
          <w:bCs/>
          <w:color w:val="000000"/>
          <w:sz w:val="24"/>
          <w:szCs w:val="24"/>
          <w:shd w:val="clear" w:color="auto" w:fill="FFFFFF"/>
          <w:lang w:val="hy-AM" w:eastAsia="ru-RU"/>
        </w:rPr>
        <w:t>Գ.</w:t>
      </w:r>
      <w:r w:rsidRPr="008E5339">
        <w:rPr>
          <w:rFonts w:ascii="Calibri" w:eastAsia="Times New Roman" w:hAnsi="Calibri" w:cs="Calibri"/>
          <w:b/>
          <w:bCs/>
          <w:color w:val="000000"/>
          <w:sz w:val="24"/>
          <w:szCs w:val="24"/>
          <w:shd w:val="clear" w:color="auto" w:fill="FFFFFF"/>
          <w:lang w:val="hy-AM" w:eastAsia="ru-RU"/>
        </w:rPr>
        <w:t> </w:t>
      </w:r>
      <w:r w:rsidRPr="008E5339">
        <w:rPr>
          <w:rFonts w:ascii="GHEA Grapalat" w:eastAsia="Times New Roman" w:hAnsi="GHEA Grapalat" w:cs="Times New Roman"/>
          <w:b/>
          <w:bCs/>
          <w:color w:val="000000"/>
          <w:sz w:val="24"/>
          <w:szCs w:val="24"/>
          <w:shd w:val="clear" w:color="auto" w:fill="FFFFFF"/>
          <w:lang w:val="hy-AM" w:eastAsia="ru-RU"/>
        </w:rPr>
        <w:t>Չկատարման դեպքում հաշվարկվող տոկոսադրույքը</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lastRenderedPageBreak/>
        <w:t>55.</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Դատարանը գտնում է, որ չկատարման դեպքում հաշվարկվող տոկոսադրույքը պետք է հիմնված լինի Եվրոպական կենտրոնական բանկի սահմանած՝ լոմբարդային ռեպոյի տոկոսադրույքի վրա, որին պետք է գումարվի երեք տոկոսային կետ։</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ԱՅՍ ՀԻՄՆԱՎՈՐՄԱՄԲ ԴԱՏԱՐԱՆԸ ՄԻԱՁԱՅՆ՝</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1.</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i/>
          <w:iCs/>
          <w:color w:val="000000"/>
          <w:sz w:val="24"/>
          <w:szCs w:val="24"/>
          <w:shd w:val="clear" w:color="auto" w:fill="FFFFFF"/>
          <w:lang w:val="hy-AM" w:eastAsia="ru-RU"/>
        </w:rPr>
        <w:t>Հայտարարում է</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գանգատն</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ընդունելի</w:t>
      </w:r>
      <w:r w:rsidRPr="008E5339">
        <w:rPr>
          <w:rFonts w:ascii="GHEA Grapalat" w:eastAsia="Times New Roman" w:hAnsi="GHEA Grapalat" w:cs="Times New Roman"/>
          <w:color w:val="000000"/>
          <w:sz w:val="24"/>
          <w:szCs w:val="24"/>
          <w:shd w:val="clear" w:color="auto" w:fill="FFFFFF"/>
          <w:lang w:val="hy-AM" w:eastAsia="ru-RU"/>
        </w:rPr>
        <w:t>.</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2.</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Վճռում է, որ տեղի է ունեցել Կոնվենցիայի 6-րդ հոդվածի 1-ին կետի և 3-րդ կետի «դ» ենթակետի խախտում.</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3.</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i/>
          <w:iCs/>
          <w:color w:val="000000"/>
          <w:sz w:val="24"/>
          <w:szCs w:val="24"/>
          <w:shd w:val="clear" w:color="auto" w:fill="FFFFFF"/>
          <w:lang w:val="hy-AM" w:eastAsia="ru-RU"/>
        </w:rPr>
        <w:t>Վճռում է, որ՝</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ա)</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պատասխանող պետությունը, վճիռը Կոնվենցիայի 44-րդ հոդվածի 2-րդ կետին համապատասխան վերջնական դառնալու օրվանից երեք</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ամսվա</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ընթացքում</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պետք</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է</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դիմո</w:t>
      </w:r>
      <w:r w:rsidRPr="008E5339">
        <w:rPr>
          <w:rFonts w:ascii="GHEA Grapalat" w:eastAsia="Times New Roman" w:hAnsi="GHEA Grapalat" w:cs="Times New Roman"/>
          <w:color w:val="000000"/>
          <w:sz w:val="24"/>
          <w:szCs w:val="24"/>
          <w:shd w:val="clear" w:color="auto" w:fill="FFFFFF"/>
          <w:lang w:val="hy-AM" w:eastAsia="ru-RU"/>
        </w:rPr>
        <w:t>ւմատուին վճարի 900 եվրո</w:t>
      </w:r>
      <w:r w:rsidRPr="008E5339">
        <w:rPr>
          <w:rFonts w:ascii="Calibri" w:eastAsia="Times New Roman" w:hAnsi="Calibri" w:cs="Calibri"/>
          <w:color w:val="000000"/>
          <w:sz w:val="24"/>
          <w:szCs w:val="24"/>
          <w:shd w:val="clear" w:color="auto" w:fill="FFFFFF"/>
          <w:lang w:val="hy-AM" w:eastAsia="ru-RU"/>
        </w:rPr>
        <w:t> </w:t>
      </w:r>
      <w:r w:rsidRPr="008E5339">
        <w:rPr>
          <w:rFonts w:ascii="Arial Unicode" w:eastAsia="Times New Roman" w:hAnsi="Arial Unicode" w:cs="Times New Roman"/>
          <w:color w:val="000000"/>
          <w:spacing w:val="-6"/>
          <w:sz w:val="24"/>
          <w:szCs w:val="24"/>
          <w:shd w:val="clear" w:color="auto" w:fill="FFFFFF"/>
          <w:lang w:val="hy-AM" w:eastAsia="ru-RU"/>
        </w:rPr>
        <w:t>(ինը</w:t>
      </w:r>
      <w:r w:rsidRPr="008E5339">
        <w:rPr>
          <w:rFonts w:ascii="GHEA Grapalat" w:eastAsia="Times New Roman" w:hAnsi="GHEA Grapalat" w:cs="Times New Roman"/>
          <w:color w:val="000000"/>
          <w:spacing w:val="-6"/>
          <w:sz w:val="24"/>
          <w:szCs w:val="24"/>
          <w:shd w:val="clear" w:color="auto" w:fill="FFFFFF"/>
          <w:lang w:val="hy-AM" w:eastAsia="ru-RU"/>
        </w:rPr>
        <w:t>հարյուր եվրո)՝ որպես ոչ նյութական վնասի հատուցում, որը պետք է փոխարկվի պատասխանող պետության արժույթով՝ վճարման օրվա դրությամբ գործող փոխարժեքով՝ գումարած գանձման ենթակա ցանկացած հարկ.</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բ)</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color w:val="000000"/>
          <w:sz w:val="24"/>
          <w:szCs w:val="24"/>
          <w:shd w:val="clear" w:color="auto" w:fill="FFFFFF"/>
          <w:lang w:val="hy-AM" w:eastAsia="ru-RU"/>
        </w:rPr>
        <w:t>վերը նշված եռամսյա ժամկետի ավարտից հետո՝ մինչև վճարման օրը, պետք է հաշվարկվի վերոնշյալ գումարների նկատմամբ պարզ տոկոսադրույք՝ չկատարման ժամանակահատվածում Եվրոպական կենտրոնական բանկի սահմանած՝ լոմբարդային ռեպոյի տոկոսադրույքի չափով՝ գումարած երեք տոկոսային կետ.</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4.</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Times New Roman"/>
          <w:i/>
          <w:iCs/>
          <w:color w:val="000000"/>
          <w:sz w:val="24"/>
          <w:szCs w:val="24"/>
          <w:shd w:val="clear" w:color="auto" w:fill="FFFFFF"/>
          <w:lang w:val="hy-AM" w:eastAsia="ru-RU"/>
        </w:rPr>
        <w:t>Մերժում է</w:t>
      </w:r>
      <w:r w:rsidRPr="008E5339">
        <w:rPr>
          <w:rFonts w:ascii="Calibri" w:eastAsia="Times New Roman" w:hAnsi="Calibri" w:cs="Calibri"/>
          <w:color w:val="000000"/>
          <w:sz w:val="24"/>
          <w:szCs w:val="24"/>
          <w:shd w:val="clear" w:color="auto" w:fill="FFFFFF"/>
          <w:lang w:val="hy-AM" w:eastAsia="ru-RU"/>
        </w:rPr>
        <w:t> </w:t>
      </w:r>
      <w:r w:rsidRPr="008E5339">
        <w:rPr>
          <w:rFonts w:ascii="GHEA Grapalat" w:eastAsia="Times New Roman" w:hAnsi="GHEA Grapalat" w:cs="GHEA Grapalat"/>
          <w:color w:val="000000"/>
          <w:sz w:val="24"/>
          <w:szCs w:val="24"/>
          <w:shd w:val="clear" w:color="auto" w:fill="FFFFFF"/>
          <w:lang w:val="hy-AM" w:eastAsia="ru-RU"/>
        </w:rPr>
        <w:t>դիմումատուի՝</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արդարացի</w:t>
      </w:r>
      <w:r w:rsidRPr="008E5339">
        <w:rPr>
          <w:rFonts w:ascii="GHEA Grapalat" w:eastAsia="Times New Roman" w:hAnsi="GHEA Grapalat" w:cs="Times New Roman"/>
          <w:color w:val="000000"/>
          <w:sz w:val="24"/>
          <w:szCs w:val="24"/>
          <w:shd w:val="clear" w:color="auto" w:fill="FFFFFF"/>
          <w:lang w:val="hy-AM" w:eastAsia="ru-RU"/>
        </w:rPr>
        <w:t xml:space="preserve"> </w:t>
      </w:r>
      <w:r w:rsidRPr="008E5339">
        <w:rPr>
          <w:rFonts w:ascii="GHEA Grapalat" w:eastAsia="Times New Roman" w:hAnsi="GHEA Grapalat" w:cs="GHEA Grapalat"/>
          <w:color w:val="000000"/>
          <w:sz w:val="24"/>
          <w:szCs w:val="24"/>
          <w:shd w:val="clear" w:color="auto" w:fill="FFFFFF"/>
          <w:lang w:val="hy-AM" w:eastAsia="ru-RU"/>
        </w:rPr>
        <w:t>փ</w:t>
      </w:r>
      <w:r w:rsidRPr="008E5339">
        <w:rPr>
          <w:rFonts w:ascii="GHEA Grapalat" w:eastAsia="Times New Roman" w:hAnsi="GHEA Grapalat" w:cs="Times New Roman"/>
          <w:color w:val="000000"/>
          <w:sz w:val="24"/>
          <w:szCs w:val="24"/>
          <w:shd w:val="clear" w:color="auto" w:fill="FFFFFF"/>
          <w:lang w:val="hy-AM" w:eastAsia="ru-RU"/>
        </w:rPr>
        <w:t>ոխհատուցման պահանջի մնացած մասը։</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GHEA Grapalat" w:eastAsia="Times New Roman" w:hAnsi="GHEA Grapalat" w:cs="Times New Roman"/>
          <w:color w:val="000000"/>
          <w:sz w:val="24"/>
          <w:szCs w:val="24"/>
          <w:shd w:val="clear" w:color="auto" w:fill="FFFFFF"/>
          <w:lang w:val="hy-AM" w:eastAsia="ru-RU"/>
        </w:rPr>
        <w:t>Կատարված է անգլերենով և գրավոր ծանուցվել է 2018 թվականի նոյեմբերի 22-ին՝ համաձայն Դատարանի կանոնակարգի 77-րդ կանոնի 2-րդ և 3-րդ կետերի։</w:t>
      </w:r>
    </w:p>
    <w:p w:rsidR="008E5339" w:rsidRPr="008E5339" w:rsidRDefault="008E5339" w:rsidP="008E5339">
      <w:pPr>
        <w:spacing w:after="0" w:line="240" w:lineRule="auto"/>
        <w:ind w:firstLine="375"/>
        <w:rPr>
          <w:rFonts w:ascii="Arial Unicode" w:eastAsia="Times New Roman" w:hAnsi="Arial Unicode" w:cs="Times New Roman"/>
          <w:color w:val="000000"/>
          <w:sz w:val="24"/>
          <w:szCs w:val="24"/>
          <w:shd w:val="clear" w:color="auto" w:fill="FFFFFF"/>
          <w:lang w:val="hy-AM" w:eastAsia="ru-RU"/>
        </w:rPr>
      </w:pPr>
      <w:r w:rsidRPr="008E5339">
        <w:rPr>
          <w:rFonts w:ascii="Calibri" w:eastAsia="Times New Roman" w:hAnsi="Calibri" w:cs="Calibri"/>
          <w:color w:val="000000"/>
          <w:sz w:val="24"/>
          <w:szCs w:val="24"/>
          <w:shd w:val="clear" w:color="auto" w:fill="FFFFFF"/>
          <w:lang w:val="hy-AM" w:eastAsia="ru-RU"/>
        </w:rPr>
        <w:t> </w:t>
      </w:r>
    </w:p>
    <w:tbl>
      <w:tblPr>
        <w:tblW w:w="9750" w:type="dxa"/>
        <w:jc w:val="center"/>
        <w:tblCellSpacing w:w="7" w:type="dxa"/>
        <w:tblCellMar>
          <w:left w:w="0" w:type="dxa"/>
          <w:right w:w="0" w:type="dxa"/>
        </w:tblCellMar>
        <w:tblLook w:val="04A0" w:firstRow="1" w:lastRow="0" w:firstColumn="1" w:lastColumn="0" w:noHBand="0" w:noVBand="1"/>
      </w:tblPr>
      <w:tblGrid>
        <w:gridCol w:w="4875"/>
        <w:gridCol w:w="4875"/>
      </w:tblGrid>
      <w:tr w:rsidR="008E5339" w:rsidRPr="008E5339" w:rsidTr="008E5339">
        <w:trPr>
          <w:tblCellSpacing w:w="7" w:type="dxa"/>
          <w:jc w:val="center"/>
        </w:trPr>
        <w:tc>
          <w:tcPr>
            <w:tcW w:w="2500" w:type="pct"/>
            <w:vAlign w:val="center"/>
            <w:hideMark/>
          </w:tcPr>
          <w:p w:rsidR="008E5339" w:rsidRPr="008E5339" w:rsidRDefault="008E5339" w:rsidP="008E5339">
            <w:pPr>
              <w:spacing w:after="0" w:line="240" w:lineRule="auto"/>
              <w:jc w:val="center"/>
              <w:rPr>
                <w:rFonts w:ascii="Arial Unicode" w:eastAsia="Times New Roman" w:hAnsi="Arial Unicode" w:cs="Times New Roman"/>
                <w:b/>
                <w:bCs/>
                <w:sz w:val="24"/>
                <w:szCs w:val="24"/>
                <w:lang w:val="hy-AM" w:eastAsia="ru-RU"/>
              </w:rPr>
            </w:pPr>
            <w:r w:rsidRPr="008E5339">
              <w:rPr>
                <w:rFonts w:ascii="Arial Unicode" w:eastAsia="Times New Roman" w:hAnsi="Arial Unicode" w:cs="Times New Roman"/>
                <w:b/>
                <w:bCs/>
                <w:sz w:val="24"/>
                <w:szCs w:val="24"/>
                <w:lang w:val="hy-AM" w:eastAsia="ru-RU"/>
              </w:rPr>
              <w:t>Աբել</w:t>
            </w:r>
            <w:r w:rsidRPr="008E5339">
              <w:rPr>
                <w:rFonts w:ascii="Calibri" w:eastAsia="Times New Roman" w:hAnsi="Calibri" w:cs="Calibri"/>
                <w:b/>
                <w:bCs/>
                <w:sz w:val="24"/>
                <w:szCs w:val="24"/>
                <w:lang w:val="hy-AM" w:eastAsia="ru-RU"/>
              </w:rPr>
              <w:t> </w:t>
            </w:r>
            <w:r w:rsidRPr="008E5339">
              <w:rPr>
                <w:rFonts w:ascii="Arial Unicode" w:eastAsia="Times New Roman" w:hAnsi="Arial Unicode" w:cs="Arial Unicode"/>
                <w:b/>
                <w:bCs/>
                <w:sz w:val="24"/>
                <w:szCs w:val="24"/>
                <w:lang w:val="hy-AM" w:eastAsia="ru-RU"/>
              </w:rPr>
              <w:t>Կամպո</w:t>
            </w:r>
            <w:r w:rsidRPr="008E5339">
              <w:rPr>
                <w:rFonts w:ascii="Arial Unicode" w:eastAsia="Times New Roman" w:hAnsi="Arial Unicode" w:cs="Times New Roman"/>
                <w:b/>
                <w:bCs/>
                <w:sz w:val="24"/>
                <w:szCs w:val="24"/>
                <w:lang w:val="hy-AM" w:eastAsia="ru-RU"/>
              </w:rPr>
              <w:t>ս</w:t>
            </w:r>
          </w:p>
          <w:p w:rsidR="008E5339" w:rsidRPr="008E5339" w:rsidRDefault="008E5339" w:rsidP="008E5339">
            <w:pPr>
              <w:spacing w:after="0" w:line="240" w:lineRule="auto"/>
              <w:jc w:val="center"/>
              <w:rPr>
                <w:rFonts w:ascii="Arial Unicode" w:eastAsia="Times New Roman" w:hAnsi="Arial Unicode" w:cs="Times New Roman"/>
                <w:b/>
                <w:bCs/>
                <w:sz w:val="24"/>
                <w:szCs w:val="24"/>
                <w:lang w:val="hy-AM" w:eastAsia="ru-RU"/>
              </w:rPr>
            </w:pPr>
            <w:r w:rsidRPr="008E5339">
              <w:rPr>
                <w:rFonts w:ascii="GHEA Grapalat" w:eastAsia="Times New Roman" w:hAnsi="GHEA Grapalat" w:cs="Times New Roman"/>
                <w:b/>
                <w:bCs/>
                <w:sz w:val="24"/>
                <w:szCs w:val="24"/>
                <w:lang w:val="hy-AM" w:eastAsia="ru-RU"/>
              </w:rPr>
              <w:t>Քարտուղար</w:t>
            </w:r>
          </w:p>
        </w:tc>
        <w:tc>
          <w:tcPr>
            <w:tcW w:w="0" w:type="auto"/>
            <w:hideMark/>
          </w:tcPr>
          <w:p w:rsidR="008E5339" w:rsidRPr="008E5339" w:rsidRDefault="008E5339" w:rsidP="008E5339">
            <w:pPr>
              <w:spacing w:after="0" w:line="240" w:lineRule="auto"/>
              <w:jc w:val="center"/>
              <w:rPr>
                <w:rFonts w:ascii="Arial Unicode" w:eastAsia="Times New Roman" w:hAnsi="Arial Unicode" w:cs="Times New Roman"/>
                <w:sz w:val="24"/>
                <w:szCs w:val="24"/>
                <w:lang w:val="hy-AM" w:eastAsia="ru-RU"/>
              </w:rPr>
            </w:pPr>
            <w:r w:rsidRPr="008E5339">
              <w:rPr>
                <w:rFonts w:ascii="GHEA Grapalat" w:eastAsia="Times New Roman" w:hAnsi="GHEA Grapalat" w:cs="Times New Roman"/>
                <w:b/>
                <w:bCs/>
                <w:sz w:val="24"/>
                <w:szCs w:val="24"/>
                <w:lang w:val="hy-AM" w:eastAsia="ru-RU"/>
              </w:rPr>
              <w:t>Լինոս-Ալեքսանդր Սիցիլիանոս</w:t>
            </w:r>
          </w:p>
          <w:p w:rsidR="008E5339" w:rsidRPr="008E5339" w:rsidRDefault="008E5339" w:rsidP="008E5339">
            <w:pPr>
              <w:spacing w:after="0" w:line="240" w:lineRule="auto"/>
              <w:jc w:val="center"/>
              <w:rPr>
                <w:rFonts w:ascii="Arial Unicode" w:eastAsia="Times New Roman" w:hAnsi="Arial Unicode" w:cs="Times New Roman"/>
                <w:sz w:val="24"/>
                <w:szCs w:val="24"/>
                <w:lang w:val="hy-AM" w:eastAsia="ru-RU"/>
              </w:rPr>
            </w:pPr>
            <w:r w:rsidRPr="008E5339">
              <w:rPr>
                <w:rFonts w:ascii="GHEA Grapalat" w:eastAsia="Times New Roman" w:hAnsi="GHEA Grapalat" w:cs="Times New Roman"/>
                <w:b/>
                <w:bCs/>
                <w:sz w:val="24"/>
                <w:szCs w:val="24"/>
                <w:lang w:val="hy-AM" w:eastAsia="ru-RU"/>
              </w:rPr>
              <w:t>Նախագահ</w:t>
            </w:r>
          </w:p>
        </w:tc>
      </w:tr>
    </w:tbl>
    <w:p w:rsidR="00FA6391" w:rsidRPr="008E5339" w:rsidRDefault="00FA6391">
      <w:pPr>
        <w:rPr>
          <w:sz w:val="24"/>
          <w:szCs w:val="24"/>
        </w:rPr>
      </w:pPr>
    </w:p>
    <w:sectPr w:rsidR="00FA6391" w:rsidRPr="008E5339" w:rsidSect="00D854F3">
      <w:type w:val="continuous"/>
      <w:pgSz w:w="11906" w:h="16838" w:code="9"/>
      <w:pgMar w:top="720" w:right="720" w:bottom="720" w:left="1440" w:header="720" w:footer="720" w:gutter="0"/>
      <w:paperSrc w:other="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w:panose1 w:val="020B0604020202020204"/>
    <w:charset w:val="00"/>
    <w:family w:val="swiss"/>
    <w:pitch w:val="variable"/>
    <w:sig w:usb0="00000287" w:usb1="00000000" w:usb2="00000000" w:usb3="00000000" w:csb0="0000009F" w:csb1="00000000"/>
  </w:font>
  <w:font w:name="GHEA Grapalat">
    <w:altName w:val="GHEA Grapalat"/>
    <w:panose1 w:val="02000506050000020003"/>
    <w:charset w:val="00"/>
    <w:family w:val="modern"/>
    <w:notTrueType/>
    <w:pitch w:val="variable"/>
    <w:sig w:usb0="A00006AF" w:usb1="5000204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339"/>
    <w:rsid w:val="006706F4"/>
    <w:rsid w:val="008E5339"/>
    <w:rsid w:val="009F6E1E"/>
    <w:rsid w:val="00D854F3"/>
    <w:rsid w:val="00EE41E3"/>
    <w:rsid w:val="00FA63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465DF6-7B88-40EE-B879-1CEB155F2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2089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11</Pages>
  <Words>3865</Words>
  <Characters>22036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 Ghazaryan</dc:creator>
  <cp:keywords/>
  <dc:description/>
  <cp:lastModifiedBy>Ara Ghazaryan</cp:lastModifiedBy>
  <cp:revision>4</cp:revision>
  <dcterms:created xsi:type="dcterms:W3CDTF">2019-09-26T13:01:00Z</dcterms:created>
  <dcterms:modified xsi:type="dcterms:W3CDTF">2020-02-13T17:09:00Z</dcterms:modified>
</cp:coreProperties>
</file>