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99506" w14:textId="77777777" w:rsidR="00904FBA" w:rsidRDefault="00904FBA">
      <w:pPr>
        <w:spacing w:before="120" w:after="0" w:line="240" w:lineRule="auto"/>
        <w:rPr>
          <w:rFonts w:ascii="Adobe Caslon Pro" w:eastAsia="Adobe Caslon Pro" w:hAnsi="Adobe Caslon Pro" w:cs="Adobe Caslon Pro"/>
        </w:rPr>
      </w:pPr>
    </w:p>
    <w:p w14:paraId="38D6CE96" w14:textId="77777777" w:rsidR="00904FBA" w:rsidRDefault="00126021">
      <w:pPr>
        <w:pBdr>
          <w:left w:val="single" w:sz="4" w:space="4" w:color="000000"/>
        </w:pBdr>
        <w:shd w:val="clear" w:color="auto" w:fill="F2F2F2"/>
        <w:spacing w:before="120" w:after="0" w:line="240" w:lineRule="auto"/>
        <w:ind w:left="142"/>
        <w:rPr>
          <w:rFonts w:ascii="Adobe Caslon Pro" w:eastAsia="Adobe Caslon Pro" w:hAnsi="Adobe Caslon Pro" w:cs="Adobe Caslon Pro"/>
        </w:rPr>
      </w:pPr>
      <w:r>
        <w:rPr>
          <w:rFonts w:ascii="Adobe Caslon Pro" w:eastAsia="Adobe Caslon Pro" w:hAnsi="Adobe Caslon Pro" w:cs="Adobe Caslon Pro"/>
        </w:rPr>
        <w:t>The purpose of this paper is to provide a guideline for commissioned legal assessments contributing to the Media Ownership Monitor (MOM) program of the Global Media Registry.</w:t>
      </w:r>
    </w:p>
    <w:p w14:paraId="23C02E4E" w14:textId="77777777" w:rsidR="00904FBA" w:rsidRDefault="00904FBA">
      <w:pPr>
        <w:spacing w:before="120" w:after="0" w:line="240" w:lineRule="auto"/>
        <w:rPr>
          <w:rFonts w:ascii="Adobe Caslon Pro" w:eastAsia="Adobe Caslon Pro" w:hAnsi="Adobe Caslon Pro" w:cs="Adobe Caslon Pro"/>
        </w:rPr>
      </w:pPr>
    </w:p>
    <w:p w14:paraId="1EBD29B3" w14:textId="5FA2692D" w:rsidR="00904FBA" w:rsidRDefault="00DE3913" w:rsidP="00DE3913">
      <w:pPr>
        <w:spacing w:before="120" w:after="0" w:line="240" w:lineRule="auto"/>
        <w:jc w:val="right"/>
        <w:rPr>
          <w:rFonts w:ascii="Adobe Caslon Pro" w:eastAsia="Adobe Caslon Pro" w:hAnsi="Adobe Caslon Pro" w:cs="Adobe Caslon Pro"/>
        </w:rPr>
      </w:pPr>
      <w:r>
        <w:rPr>
          <w:rFonts w:ascii="Adobe Caslon Pro" w:eastAsia="Adobe Caslon Pro" w:hAnsi="Adobe Caslon Pro" w:cs="Adobe Caslon Pro"/>
        </w:rPr>
        <w:t>Ara Ghazaryan</w:t>
      </w:r>
    </w:p>
    <w:p w14:paraId="59F576D1" w14:textId="77777777" w:rsidR="00904FBA" w:rsidRDefault="00126021">
      <w:pPr>
        <w:spacing w:before="120" w:after="0" w:line="240" w:lineRule="auto"/>
        <w:rPr>
          <w:rFonts w:ascii="Montserrat SemiBold" w:eastAsia="Montserrat SemiBold" w:hAnsi="Montserrat SemiBold" w:cs="Montserrat SemiBold"/>
          <w:b/>
          <w:sz w:val="32"/>
          <w:szCs w:val="32"/>
        </w:rPr>
      </w:pPr>
      <w:r>
        <w:rPr>
          <w:rFonts w:ascii="Montserrat SemiBold" w:eastAsia="Montserrat SemiBold" w:hAnsi="Montserrat SemiBold" w:cs="Montserrat SemiBold"/>
          <w:b/>
          <w:sz w:val="32"/>
          <w:szCs w:val="32"/>
        </w:rPr>
        <w:t>Overview and Introduction</w:t>
      </w:r>
    </w:p>
    <w:p w14:paraId="38DC1202" w14:textId="77777777" w:rsidR="00904FBA" w:rsidRDefault="00904FBA">
      <w:pPr>
        <w:spacing w:before="120" w:after="0" w:line="240" w:lineRule="auto"/>
        <w:rPr>
          <w:rFonts w:ascii="Adobe Caslon Pro" w:eastAsia="Adobe Caslon Pro" w:hAnsi="Adobe Caslon Pro" w:cs="Adobe Caslon Pro"/>
        </w:rPr>
      </w:pPr>
    </w:p>
    <w:p w14:paraId="6DABA7A6" w14:textId="77777777" w:rsidR="00904FBA" w:rsidRDefault="00126021" w:rsidP="005D00DF">
      <w:pPr>
        <w:spacing w:before="120" w:after="0" w:line="240" w:lineRule="auto"/>
        <w:jc w:val="both"/>
        <w:rPr>
          <w:rFonts w:ascii="Adobe Caslon Pro" w:eastAsia="Adobe Caslon Pro" w:hAnsi="Adobe Caslon Pro" w:cs="Adobe Caslon Pro"/>
        </w:rPr>
      </w:pPr>
      <w:r>
        <w:rPr>
          <w:rFonts w:ascii="Adobe Caslon Pro" w:eastAsia="Adobe Caslon Pro" w:hAnsi="Adobe Caslon Pro" w:cs="Adobe Caslon Pro"/>
        </w:rPr>
        <w:t xml:space="preserve">The Media Ownership Monitor (MOM) is a publicly available, continuously updated database (in development) that lists owners and stakeholders of all relevant mass media outlets in a country as well as their affiliations to other enterprises. The purpose is to make media ownership transparent as a prerequisite for securing pluralism and defending the diversity of opinions. </w:t>
      </w:r>
    </w:p>
    <w:p w14:paraId="6D4B6BBC" w14:textId="77777777" w:rsidR="00904FBA" w:rsidRDefault="00126021" w:rsidP="005D00DF">
      <w:pPr>
        <w:spacing w:before="120" w:after="0" w:line="240" w:lineRule="auto"/>
        <w:jc w:val="both"/>
        <w:rPr>
          <w:rFonts w:ascii="Adobe Caslon Pro" w:eastAsia="Adobe Caslon Pro" w:hAnsi="Adobe Caslon Pro" w:cs="Adobe Caslon Pro"/>
        </w:rPr>
      </w:pPr>
      <w:r>
        <w:rPr>
          <w:rFonts w:ascii="Adobe Caslon Pro" w:eastAsia="Adobe Caslon Pro" w:hAnsi="Adobe Caslon Pro" w:cs="Adobe Caslon Pro"/>
        </w:rPr>
        <w:t xml:space="preserve">The legal assessment of the media sector provides contextualization for the collected data as it reveals the legal environments and the way regulation is being implemented as structuring element of the media ownership. Therefore, central issues of the assessment are the legislation on media concentration and its implementation, the monitoring system and transparency of ownership. As variables like advertising regulation and licensing also influence ownership, some generic questions on the specific national conditions should also be resumed. </w:t>
      </w:r>
    </w:p>
    <w:p w14:paraId="017102D0" w14:textId="77777777" w:rsidR="00904FBA" w:rsidRDefault="00126021" w:rsidP="005D00DF">
      <w:pPr>
        <w:spacing w:before="120" w:after="0" w:line="240" w:lineRule="auto"/>
        <w:jc w:val="both"/>
        <w:rPr>
          <w:rFonts w:ascii="Adobe Caslon Pro" w:eastAsia="Adobe Caslon Pro" w:hAnsi="Adobe Caslon Pro" w:cs="Adobe Caslon Pro"/>
        </w:rPr>
      </w:pPr>
      <w:r>
        <w:rPr>
          <w:rFonts w:ascii="Adobe Caslon Pro" w:eastAsia="Adobe Caslon Pro" w:hAnsi="Adobe Caslon Pro" w:cs="Adobe Caslon Pro"/>
        </w:rPr>
        <w:t xml:space="preserve">As media pluralism and concentration is an up-to-date topic on the agenda of media policy makers, regulators, researchers and NGOs, there exist several studies and indices with slightly varying focuses. To make data exchangeable and comparable, we analyzed the most important indices in this field from the point of view of what would serve our purpose. As they also widely assess the legal situation of the media in countries, our leading questions and indicators for this assessment rely heavily on the indicators of the EU-funded </w:t>
      </w:r>
      <w:hyperlink r:id="rId8">
        <w:r>
          <w:rPr>
            <w:rFonts w:ascii="Adobe Caslon Pro" w:eastAsia="Adobe Caslon Pro" w:hAnsi="Adobe Caslon Pro" w:cs="Adobe Caslon Pro"/>
            <w:color w:val="0000FF"/>
            <w:u w:val="single"/>
          </w:rPr>
          <w:t>Media Pluralism Monitor</w:t>
        </w:r>
      </w:hyperlink>
      <w:r>
        <w:rPr>
          <w:rFonts w:ascii="Adobe Caslon Pro" w:eastAsia="Adobe Caslon Pro" w:hAnsi="Adobe Caslon Pro" w:cs="Adobe Caslon Pro"/>
        </w:rPr>
        <w:t xml:space="preserve"> of the Centre for Media Pluralism and Media Freedom (CMPF) at the European University Institute in Florence as well as on the work done  by the  </w:t>
      </w:r>
      <w:hyperlink r:id="rId9">
        <w:r>
          <w:rPr>
            <w:rFonts w:ascii="Adobe Caslon Pro" w:eastAsia="Adobe Caslon Pro" w:hAnsi="Adobe Caslon Pro" w:cs="Adobe Caslon Pro"/>
            <w:color w:val="0000FF"/>
            <w:u w:val="single"/>
          </w:rPr>
          <w:t>“Media Development Indicators”</w:t>
        </w:r>
      </w:hyperlink>
      <w:r>
        <w:rPr>
          <w:rFonts w:ascii="Adobe Caslon Pro" w:eastAsia="Adobe Caslon Pro" w:hAnsi="Adobe Caslon Pro" w:cs="Adobe Caslon Pro"/>
        </w:rPr>
        <w:t xml:space="preserve"> developed by UNESCO, a </w:t>
      </w:r>
      <w:hyperlink r:id="rId10">
        <w:r>
          <w:rPr>
            <w:rFonts w:ascii="Adobe Caslon Pro" w:eastAsia="Adobe Caslon Pro" w:hAnsi="Adobe Caslon Pro" w:cs="Adobe Caslon Pro"/>
            <w:color w:val="0000FF"/>
            <w:u w:val="single"/>
          </w:rPr>
          <w:t>study of the Council of Europe</w:t>
        </w:r>
      </w:hyperlink>
      <w:r>
        <w:rPr>
          <w:rFonts w:ascii="Adobe Caslon Pro" w:eastAsia="Adobe Caslon Pro" w:hAnsi="Adobe Caslon Pro" w:cs="Adobe Caslon Pro"/>
        </w:rPr>
        <w:t xml:space="preserve"> of methodologies for measuring media concentration, the </w:t>
      </w:r>
      <w:hyperlink r:id="rId11">
        <w:r>
          <w:rPr>
            <w:rFonts w:ascii="Adobe Caslon Pro" w:eastAsia="Adobe Caslon Pro" w:hAnsi="Adobe Caslon Pro" w:cs="Adobe Caslon Pro"/>
            <w:color w:val="0000FF"/>
            <w:u w:val="single"/>
          </w:rPr>
          <w:t>Mediabarometer</w:t>
        </w:r>
      </w:hyperlink>
      <w:r>
        <w:rPr>
          <w:rFonts w:ascii="Adobe Caslon Pro" w:eastAsia="Adobe Caslon Pro" w:hAnsi="Adobe Caslon Pro" w:cs="Adobe Caslon Pro"/>
        </w:rPr>
        <w:t xml:space="preserve"> by the German Friedrich-Ebert Foundation and the research by </w:t>
      </w:r>
      <w:hyperlink r:id="rId12">
        <w:r>
          <w:rPr>
            <w:rFonts w:ascii="Adobe Caslon Pro" w:eastAsia="Adobe Caslon Pro" w:hAnsi="Adobe Caslon Pro" w:cs="Adobe Caslon Pro"/>
            <w:color w:val="0000FF"/>
            <w:u w:val="single"/>
          </w:rPr>
          <w:t>Access Info</w:t>
        </w:r>
      </w:hyperlink>
      <w:r>
        <w:rPr>
          <w:rFonts w:ascii="Adobe Caslon Pro" w:eastAsia="Adobe Caslon Pro" w:hAnsi="Adobe Caslon Pro" w:cs="Adobe Caslon Pro"/>
        </w:rPr>
        <w:t xml:space="preserve"> on transparency of ownership. </w:t>
      </w:r>
    </w:p>
    <w:p w14:paraId="09AEF8EF" w14:textId="77777777" w:rsidR="00904FBA" w:rsidRDefault="00126021">
      <w:pPr>
        <w:spacing w:before="120" w:after="0" w:line="240" w:lineRule="auto"/>
        <w:rPr>
          <w:rFonts w:ascii="Adobe Caslon Pro" w:eastAsia="Adobe Caslon Pro" w:hAnsi="Adobe Caslon Pro" w:cs="Adobe Caslon Pro"/>
        </w:rPr>
        <w:sectPr w:rsidR="00904FBA">
          <w:headerReference w:type="default" r:id="rId13"/>
          <w:footerReference w:type="default" r:id="rId14"/>
          <w:pgSz w:w="11906" w:h="16838"/>
          <w:pgMar w:top="1417" w:right="1417" w:bottom="1134" w:left="1417" w:header="708" w:footer="708" w:gutter="0"/>
          <w:pgNumType w:start="1"/>
          <w:cols w:space="720"/>
        </w:sectPr>
      </w:pPr>
      <w:r>
        <w:rPr>
          <w:rFonts w:ascii="Adobe Caslon Pro" w:eastAsia="Adobe Caslon Pro" w:hAnsi="Adobe Caslon Pro" w:cs="Adobe Caslon Pro"/>
        </w:rPr>
        <w:t xml:space="preserve">The assessment chapters are divided into two parts: the first is a descriptive part, which summarizes the current situation with details on how issues are regulated and implemented. The second is a checklist of indicators to be evaluated as “yes” or “no”. </w:t>
      </w:r>
    </w:p>
    <w:p w14:paraId="189092F0" w14:textId="77777777" w:rsidR="00904FBA" w:rsidRDefault="00126021" w:rsidP="005D00DF">
      <w:pPr>
        <w:spacing w:before="120" w:after="0" w:line="240" w:lineRule="auto"/>
        <w:ind w:left="851" w:hanging="851"/>
        <w:jc w:val="both"/>
        <w:rPr>
          <w:rFonts w:ascii="Montserrat Light" w:eastAsia="Montserrat Light" w:hAnsi="Montserrat Light" w:cs="Montserrat Light"/>
          <w:sz w:val="24"/>
          <w:szCs w:val="24"/>
        </w:rPr>
      </w:pPr>
      <w:r>
        <w:rPr>
          <w:rFonts w:ascii="Montserrat Light" w:eastAsia="Montserrat Light" w:hAnsi="Montserrat Light" w:cs="Montserrat Light"/>
          <w:sz w:val="24"/>
          <w:szCs w:val="24"/>
        </w:rPr>
        <w:lastRenderedPageBreak/>
        <w:t>Part I:</w:t>
      </w:r>
      <w:r>
        <w:rPr>
          <w:rFonts w:ascii="Montserrat Light" w:eastAsia="Montserrat Light" w:hAnsi="Montserrat Light" w:cs="Montserrat Light"/>
          <w:sz w:val="24"/>
          <w:szCs w:val="24"/>
        </w:rPr>
        <w:tab/>
        <w:t>Description of the legislation on media concentration and ownership as well as its implementation, monitoring and transparency</w:t>
      </w:r>
    </w:p>
    <w:p w14:paraId="7D61B7CF" w14:textId="77777777" w:rsidR="00904FBA" w:rsidRDefault="00904FBA">
      <w:pPr>
        <w:spacing w:before="120" w:after="0" w:line="240" w:lineRule="auto"/>
        <w:ind w:left="851" w:hanging="851"/>
        <w:rPr>
          <w:rFonts w:ascii="Adobe Caslon Pro" w:eastAsia="Adobe Caslon Pro" w:hAnsi="Adobe Caslon Pro" w:cs="Adobe Caslon Pro"/>
        </w:rPr>
      </w:pPr>
    </w:p>
    <w:p w14:paraId="28D56A00"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t>I.1. Legal framework</w:t>
      </w:r>
    </w:p>
    <w:p w14:paraId="57E08638" w14:textId="1CE0FF78" w:rsidR="005D00DF" w:rsidRDefault="005D00DF" w:rsidP="005D00DF">
      <w:pPr>
        <w:spacing w:before="60" w:after="60"/>
        <w:ind w:left="360"/>
        <w:jc w:val="both"/>
        <w:rPr>
          <w:rFonts w:ascii="Adobe Caslon Pro" w:eastAsia="Adobe Caslon Pro" w:hAnsi="Adobe Caslon Pro" w:cs="Adobe Caslon Pro"/>
          <w:bCs/>
        </w:rPr>
      </w:pPr>
      <w:r w:rsidRPr="005D00DF">
        <w:rPr>
          <w:rFonts w:ascii="Adobe Caslon Pro" w:eastAsia="Adobe Caslon Pro" w:hAnsi="Adobe Caslon Pro" w:cs="Adobe Caslon Pro"/>
          <w:bCs/>
        </w:rPr>
        <w:t>Rules regulating media ownership can be found in the media legislation</w:t>
      </w:r>
      <w:r w:rsidR="00563060">
        <w:rPr>
          <w:rFonts w:ascii="Adobe Caslon Pro" w:eastAsia="Adobe Caslon Pro" w:hAnsi="Adobe Caslon Pro" w:cs="Adobe Caslon Pro"/>
          <w:bCs/>
        </w:rPr>
        <w:t xml:space="preserve">, </w:t>
      </w:r>
      <w:r w:rsidRPr="005D00DF">
        <w:rPr>
          <w:rFonts w:ascii="Adobe Caslon Pro" w:eastAsia="Adobe Caslon Pro" w:hAnsi="Adobe Caslon Pro" w:cs="Adobe Caslon Pro"/>
          <w:bCs/>
        </w:rPr>
        <w:t xml:space="preserve">in the legislation governing grounds and procedures of registration of </w:t>
      </w:r>
      <w:r w:rsidR="003B0E0F">
        <w:rPr>
          <w:rFonts w:ascii="Adobe Caslon Pro" w:eastAsia="Adobe Caslon Pro" w:hAnsi="Adobe Caslon Pro" w:cs="Adobe Caslon Pro"/>
          <w:bCs/>
        </w:rPr>
        <w:t>legal entities with the State</w:t>
      </w:r>
      <w:r w:rsidR="00563060">
        <w:rPr>
          <w:rFonts w:ascii="Adobe Caslon Pro" w:eastAsia="Adobe Caslon Pro" w:hAnsi="Adobe Caslon Pro" w:cs="Adobe Caslon Pro"/>
          <w:bCs/>
        </w:rPr>
        <w:t>, and in the legislation governing antimonopoly rules</w:t>
      </w:r>
      <w:r w:rsidR="003B0E0F">
        <w:rPr>
          <w:rFonts w:ascii="Adobe Caslon Pro" w:eastAsia="Adobe Caslon Pro" w:hAnsi="Adobe Caslon Pro" w:cs="Adobe Caslon Pro"/>
          <w:bCs/>
        </w:rPr>
        <w:t>.</w:t>
      </w:r>
    </w:p>
    <w:p w14:paraId="3C3580C0" w14:textId="14873FA6" w:rsidR="005D00DF" w:rsidRPr="005D00DF" w:rsidRDefault="005D00DF" w:rsidP="005D00DF">
      <w:pPr>
        <w:spacing w:before="60" w:after="60"/>
        <w:ind w:left="360"/>
        <w:jc w:val="both"/>
        <w:rPr>
          <w:rFonts w:ascii="Adobe Caslon Pro" w:eastAsia="Adobe Caslon Pro" w:hAnsi="Adobe Caslon Pro" w:cs="Adobe Caslon Pro"/>
          <w:bCs/>
        </w:rPr>
      </w:pPr>
      <w:r w:rsidRPr="005D00DF">
        <w:rPr>
          <w:rFonts w:ascii="Adobe Caslon Pro" w:eastAsia="Adobe Caslon Pro" w:hAnsi="Adobe Caslon Pro" w:cs="Adobe Caslon Pro"/>
          <w:bCs/>
        </w:rPr>
        <w:t>As regards the media legislation, the central law governing the rules of media ownership is the Law on Audiovisual Media. The law regulates terrestrial broadcasting of televisio</w:t>
      </w:r>
      <w:r w:rsidR="005345B5">
        <w:rPr>
          <w:rFonts w:ascii="Adobe Caslon Pro" w:eastAsia="Adobe Caslon Pro" w:hAnsi="Adobe Caslon Pro" w:cs="Adobe Caslon Pro"/>
          <w:bCs/>
        </w:rPr>
        <w:t>n</w:t>
      </w:r>
      <w:r w:rsidRPr="005D00DF">
        <w:rPr>
          <w:rFonts w:ascii="Adobe Caslon Pro" w:eastAsia="Adobe Caslon Pro" w:hAnsi="Adobe Caslon Pro" w:cs="Adobe Caslon Pro"/>
          <w:bCs/>
        </w:rPr>
        <w:t xml:space="preserve"> and radio</w:t>
      </w:r>
      <w:r w:rsidR="00563060">
        <w:rPr>
          <w:rFonts w:ascii="Adobe Caslon Pro" w:eastAsia="Adobe Caslon Pro" w:hAnsi="Adobe Caslon Pro" w:cs="Adobe Caslon Pro"/>
          <w:bCs/>
        </w:rPr>
        <w:t xml:space="preserve"> entities </w:t>
      </w:r>
      <w:r w:rsidRPr="005D00DF">
        <w:rPr>
          <w:rFonts w:ascii="Adobe Caslon Pro" w:eastAsia="Adobe Caslon Pro" w:hAnsi="Adobe Caslon Pro" w:cs="Adobe Caslon Pro"/>
          <w:bCs/>
        </w:rPr>
        <w:t xml:space="preserve"> as well as  cable TV. The Television and Radio Commission, as a national regulator, regulates the activities of private television and radio companies,</w:t>
      </w:r>
      <w:r w:rsidR="003B0E0F">
        <w:rPr>
          <w:rFonts w:ascii="Adobe Caslon Pro" w:eastAsia="Adobe Caslon Pro" w:hAnsi="Adobe Caslon Pro" w:cs="Adobe Caslon Pro"/>
          <w:bCs/>
        </w:rPr>
        <w:t xml:space="preserve"> and</w:t>
      </w:r>
      <w:r w:rsidRPr="005D00DF">
        <w:rPr>
          <w:rFonts w:ascii="Adobe Caslon Pro" w:eastAsia="Adobe Caslon Pro" w:hAnsi="Adobe Caslon Pro" w:cs="Adobe Caslon Pro"/>
          <w:bCs/>
        </w:rPr>
        <w:t xml:space="preserve"> digital network operators of cable TV. The activities of the public TV and radio are also regulated by this law but their regulator is the Council of National Broadcasters. The law does not regulate the Internet </w:t>
      </w:r>
      <w:r w:rsidR="003B0E0F">
        <w:rPr>
          <w:rFonts w:ascii="Adobe Caslon Pro" w:eastAsia="Adobe Caslon Pro" w:hAnsi="Adobe Caslon Pro" w:cs="Adobe Caslon Pro"/>
          <w:bCs/>
        </w:rPr>
        <w:t>content</w:t>
      </w:r>
      <w:r w:rsidRPr="005D00DF">
        <w:rPr>
          <w:rFonts w:ascii="Adobe Caslon Pro" w:eastAsia="Adobe Caslon Pro" w:hAnsi="Adobe Caslon Pro" w:cs="Adobe Caslon Pro"/>
          <w:bCs/>
        </w:rPr>
        <w:t xml:space="preserve"> with exception of the content spread through cable TV</w:t>
      </w:r>
      <w:r w:rsidR="003B0E0F">
        <w:rPr>
          <w:rFonts w:ascii="Adobe Caslon Pro" w:eastAsia="Adobe Caslon Pro" w:hAnsi="Adobe Caslon Pro" w:cs="Adobe Caslon Pro"/>
          <w:bCs/>
        </w:rPr>
        <w:t xml:space="preserve"> by network operators</w:t>
      </w:r>
      <w:r w:rsidR="00563060">
        <w:rPr>
          <w:rFonts w:ascii="Adobe Caslon Pro" w:eastAsia="Adobe Caslon Pro" w:hAnsi="Adobe Caslon Pro" w:cs="Adobe Caslon Pro"/>
          <w:bCs/>
        </w:rPr>
        <w:t>, as mentioned above</w:t>
      </w:r>
      <w:r w:rsidR="003B0E0F">
        <w:rPr>
          <w:rFonts w:ascii="Adobe Caslon Pro" w:eastAsia="Adobe Caslon Pro" w:hAnsi="Adobe Caslon Pro" w:cs="Adobe Caslon Pro"/>
          <w:bCs/>
        </w:rPr>
        <w:t xml:space="preserve">. </w:t>
      </w:r>
      <w:r w:rsidRPr="005D00DF">
        <w:rPr>
          <w:rFonts w:ascii="Adobe Caslon Pro" w:eastAsia="Adobe Caslon Pro" w:hAnsi="Adobe Caslon Pro" w:cs="Adobe Caslon Pro"/>
          <w:bCs/>
        </w:rPr>
        <w:t xml:space="preserve"> </w:t>
      </w:r>
    </w:p>
    <w:p w14:paraId="6B991B3E" w14:textId="3A55CFD8" w:rsidR="005D00DF" w:rsidRPr="005D00DF" w:rsidRDefault="005D00DF" w:rsidP="005D00DF">
      <w:pPr>
        <w:spacing w:before="60" w:after="60"/>
        <w:ind w:left="360"/>
        <w:jc w:val="both"/>
        <w:rPr>
          <w:rFonts w:ascii="Adobe Caslon Pro" w:eastAsia="Adobe Caslon Pro" w:hAnsi="Adobe Caslon Pro" w:cs="Adobe Caslon Pro"/>
        </w:rPr>
      </w:pPr>
      <w:r w:rsidRPr="005D00DF">
        <w:rPr>
          <w:rFonts w:ascii="Adobe Caslon Pro" w:eastAsia="Adobe Caslon Pro" w:hAnsi="Adobe Caslon Pro" w:cs="Adobe Caslon Pro"/>
          <w:bCs/>
        </w:rPr>
        <w:t xml:space="preserve">The article 19 of the Law on Audiovisual Media provides that broadcasters should ensure that their financial sources are transparent. It mandates them to publish annual income reports and to disclose </w:t>
      </w:r>
      <w:r w:rsidRPr="005D00DF">
        <w:rPr>
          <w:rFonts w:ascii="Adobe Caslon Pro" w:eastAsia="Adobe Caslon Pro" w:hAnsi="Adobe Caslon Pro" w:cs="Adobe Caslon Pro"/>
        </w:rPr>
        <w:t>their founders and owners</w:t>
      </w:r>
      <w:r w:rsidR="00563060">
        <w:rPr>
          <w:rFonts w:ascii="Adobe Caslon Pro" w:eastAsia="Adobe Caslon Pro" w:hAnsi="Adobe Caslon Pro" w:cs="Adobe Caslon Pro"/>
        </w:rPr>
        <w:t xml:space="preserve"> (shareholders)</w:t>
      </w:r>
      <w:r w:rsidRPr="005D00DF">
        <w:rPr>
          <w:rFonts w:ascii="Adobe Caslon Pro" w:eastAsia="Adobe Caslon Pro" w:hAnsi="Adobe Caslon Pro" w:cs="Adobe Caslon Pro"/>
        </w:rPr>
        <w:t xml:space="preserve">. In addition, this article obligates the broadcasters and network operators to submit to the national regulator a breakdown report of their annual revenues. The article 19 also defines the list of legitimate sources of income generation for media entities such as advertising, airtime, sponsorship, sale of video content, subscription fees, contributions from founders and “other funds” not prohibited by law. </w:t>
      </w:r>
      <w:r w:rsidR="00563060">
        <w:rPr>
          <w:rFonts w:ascii="Adobe Caslon Pro" w:eastAsia="Adobe Caslon Pro" w:hAnsi="Adobe Caslon Pro" w:cs="Adobe Caslon Pro"/>
        </w:rPr>
        <w:t xml:space="preserve">This list is </w:t>
      </w:r>
      <w:r w:rsidRPr="005D00DF">
        <w:rPr>
          <w:rFonts w:ascii="Adobe Caslon Pro" w:eastAsia="Adobe Caslon Pro" w:hAnsi="Adobe Caslon Pro" w:cs="Adobe Caslon Pro"/>
        </w:rPr>
        <w:t xml:space="preserve">open </w:t>
      </w:r>
      <w:r w:rsidR="00563060">
        <w:rPr>
          <w:rFonts w:ascii="Adobe Caslon Pro" w:eastAsia="Adobe Caslon Pro" w:hAnsi="Adobe Caslon Pro" w:cs="Adobe Caslon Pro"/>
        </w:rPr>
        <w:t xml:space="preserve">and as such it is not in compliance with </w:t>
      </w:r>
      <w:r w:rsidRPr="005D00DF">
        <w:rPr>
          <w:rFonts w:ascii="Adobe Caslon Pro" w:eastAsia="Adobe Caslon Pro" w:hAnsi="Adobe Caslon Pro" w:cs="Adobe Caslon Pro"/>
        </w:rPr>
        <w:t xml:space="preserve">general requirement of legal certainty.  </w:t>
      </w:r>
    </w:p>
    <w:p w14:paraId="6BB6FD07" w14:textId="46697D79" w:rsidR="005D00DF" w:rsidRPr="005D00DF" w:rsidRDefault="005D00DF" w:rsidP="005D00DF">
      <w:pPr>
        <w:spacing w:before="60" w:after="60"/>
        <w:ind w:left="360"/>
        <w:jc w:val="both"/>
        <w:rPr>
          <w:rFonts w:ascii="Adobe Caslon Pro" w:eastAsia="Adobe Caslon Pro" w:hAnsi="Adobe Caslon Pro" w:cs="Adobe Caslon Pro"/>
          <w:lang w:val="hy-AM"/>
        </w:rPr>
      </w:pPr>
      <w:r w:rsidRPr="005D00DF">
        <w:rPr>
          <w:rFonts w:ascii="Adobe Caslon Pro" w:eastAsia="Adobe Caslon Pro" w:hAnsi="Adobe Caslon Pro" w:cs="Adobe Caslon Pro"/>
        </w:rPr>
        <w:t xml:space="preserve">To avoid a media concentration, the article 18 of the law provides that legal and physical persons cannot be founders or shareholders of more than two licensed broadcasters (broadcasting companies) simultaneously. This condition is further limited by territoriality principle setting three types of </w:t>
      </w:r>
      <w:r w:rsidR="00563060">
        <w:rPr>
          <w:rFonts w:ascii="Adobe Caslon Pro" w:eastAsia="Adobe Caslon Pro" w:hAnsi="Adobe Caslon Pro" w:cs="Adobe Caslon Pro"/>
        </w:rPr>
        <w:t xml:space="preserve">territorial </w:t>
      </w:r>
      <w:r w:rsidRPr="005D00DF">
        <w:rPr>
          <w:rFonts w:ascii="Adobe Caslon Pro" w:eastAsia="Adobe Caslon Pro" w:hAnsi="Adobe Caslon Pro" w:cs="Adobe Caslon Pro"/>
        </w:rPr>
        <w:t xml:space="preserve">license such as republican (broadcasting allowed in the entire territory of Armenia), capital (broadcasting allowed only in the territory of capital Yerevan) and regional (broadcasting allowed in a single territory of any of the 10 administrative districts of Armenia). The former Law on Television and Radio, which was replaced by the current one, allowed each broadcaster to have one license. Hence, the current law widened the </w:t>
      </w:r>
      <w:r w:rsidR="00563060">
        <w:rPr>
          <w:rFonts w:ascii="Adobe Caslon Pro" w:eastAsia="Adobe Caslon Pro" w:hAnsi="Adobe Caslon Pro" w:cs="Adobe Caslon Pro"/>
        </w:rPr>
        <w:t xml:space="preserve">scope of </w:t>
      </w:r>
      <w:r w:rsidRPr="005D00DF">
        <w:rPr>
          <w:rFonts w:ascii="Adobe Caslon Pro" w:eastAsia="Adobe Caslon Pro" w:hAnsi="Adobe Caslon Pro" w:cs="Adobe Caslon Pro"/>
        </w:rPr>
        <w:t>media concentration</w:t>
      </w:r>
      <w:r w:rsidRPr="005D00DF">
        <w:rPr>
          <w:rFonts w:ascii="Times New Roman" w:eastAsia="Adobe Caslon Pro" w:hAnsi="Times New Roman" w:cs="Times New Roman"/>
          <w:lang w:val="hy-AM"/>
        </w:rPr>
        <w:t>․</w:t>
      </w:r>
      <w:r w:rsidRPr="005D00DF">
        <w:rPr>
          <w:rFonts w:ascii="Adobe Caslon Pro" w:eastAsia="Adobe Caslon Pro" w:hAnsi="Adobe Caslon Pro" w:cs="Adobe Caslon Pro"/>
          <w:lang w:val="hy-AM"/>
        </w:rPr>
        <w:t xml:space="preserve"> </w:t>
      </w:r>
    </w:p>
    <w:p w14:paraId="6615D7C6" w14:textId="77777777" w:rsidR="005D00DF" w:rsidRPr="005D00DF" w:rsidRDefault="005D00DF" w:rsidP="005D00DF">
      <w:pPr>
        <w:spacing w:before="60" w:after="60"/>
        <w:ind w:left="360"/>
        <w:jc w:val="both"/>
        <w:rPr>
          <w:rFonts w:ascii="Adobe Caslon Pro" w:eastAsia="Adobe Caslon Pro" w:hAnsi="Adobe Caslon Pro" w:cs="Adobe Caslon Pro"/>
        </w:rPr>
      </w:pPr>
      <w:r w:rsidRPr="005D00DF">
        <w:rPr>
          <w:rFonts w:ascii="Adobe Caslon Pro" w:eastAsia="Adobe Caslon Pro" w:hAnsi="Adobe Caslon Pro" w:cs="Adobe Caslon Pro"/>
        </w:rPr>
        <w:t xml:space="preserve">The section 2 of the article 45 of the law provides that broadcasting license cannot be  transferred to another person. It further defines that identification of fake or misleading documents or information in the financial papers of a company would be a valid ground for suspension or termination of broadcasting license. These norms can be found also in the Law on Licensing which is the general law governing licensing grounds and procedures for all types of licensed activities including broadcasting. </w:t>
      </w:r>
    </w:p>
    <w:p w14:paraId="6F03A5DC" w14:textId="53A50284" w:rsidR="005D00DF" w:rsidRPr="005D00DF" w:rsidRDefault="005D00DF" w:rsidP="005D00DF">
      <w:pPr>
        <w:spacing w:before="60" w:after="60"/>
        <w:ind w:left="360"/>
        <w:jc w:val="both"/>
        <w:rPr>
          <w:rFonts w:ascii="Adobe Caslon Pro" w:eastAsia="Adobe Caslon Pro" w:hAnsi="Adobe Caslon Pro" w:cs="Adobe Caslon Pro"/>
        </w:rPr>
      </w:pPr>
      <w:r w:rsidRPr="005D00DF">
        <w:rPr>
          <w:rFonts w:ascii="Adobe Caslon Pro" w:eastAsia="Adobe Caslon Pro" w:hAnsi="Adobe Caslon Pro" w:cs="Adobe Caslon Pro"/>
        </w:rPr>
        <w:lastRenderedPageBreak/>
        <w:t xml:space="preserve">The Law on Mass Media requires the media outlets to publish certain limited information on their news portals about the company which operates the media outlet such as the name, address, state registration number of the company, etc.. If the owner of the media outlet is a physical person, the law requires to publish the name and state registration certificate number of the private entrepreneurship. This information links </w:t>
      </w:r>
      <w:r w:rsidR="00563060">
        <w:rPr>
          <w:rFonts w:ascii="Adobe Caslon Pro" w:eastAsia="Adobe Caslon Pro" w:hAnsi="Adobe Caslon Pro" w:cs="Adobe Caslon Pro"/>
        </w:rPr>
        <w:t xml:space="preserve">media </w:t>
      </w:r>
      <w:r w:rsidRPr="005D00DF">
        <w:rPr>
          <w:rFonts w:ascii="Adobe Caslon Pro" w:eastAsia="Adobe Caslon Pro" w:hAnsi="Adobe Caslon Pro" w:cs="Adobe Caslon Pro"/>
        </w:rPr>
        <w:t>entities that operate media outlets to the general framework of reporting by commercial entities of their revenues and disclosing of their owners</w:t>
      </w:r>
      <w:r w:rsidR="004F5AF9">
        <w:rPr>
          <w:rFonts w:ascii="Adobe Caslon Pro" w:eastAsia="Adobe Caslon Pro" w:hAnsi="Adobe Caslon Pro" w:cs="Adobe Caslon Pro"/>
        </w:rPr>
        <w:t xml:space="preserve"> to the State</w:t>
      </w:r>
      <w:r w:rsidRPr="005D00DF">
        <w:rPr>
          <w:rFonts w:ascii="Adobe Caslon Pro" w:eastAsia="Adobe Caslon Pro" w:hAnsi="Adobe Caslon Pro" w:cs="Adobe Caslon Pro"/>
        </w:rPr>
        <w:t>.  The article 12 of the law regulates transparency of financial sources stipulating that media revenues are generated through advertising, paid airtime, sale of publications, audio and video recordings, contributions from subscribers, contributions from founders, funds (including donations) allocated by sponsors, and financial resources received from other sources not prohibited by law. This article also obligates media companies to publish periodic annual</w:t>
      </w:r>
      <w:r w:rsidR="00305858">
        <w:rPr>
          <w:rFonts w:ascii="Adobe Caslon Pro" w:eastAsia="Adobe Caslon Pro" w:hAnsi="Adobe Caslon Pro" w:cs="Adobe Caslon Pro"/>
        </w:rPr>
        <w:t xml:space="preserve"> breakdown</w:t>
      </w:r>
      <w:r w:rsidRPr="005D00DF">
        <w:rPr>
          <w:rFonts w:ascii="Adobe Caslon Pro" w:eastAsia="Adobe Caslon Pro" w:hAnsi="Adobe Caslon Pro" w:cs="Adobe Caslon Pro"/>
        </w:rPr>
        <w:t xml:space="preserve"> reports about their financial revenues.</w:t>
      </w:r>
      <w:r w:rsidR="004F5AF9">
        <w:rPr>
          <w:rFonts w:ascii="Adobe Caslon Pro" w:eastAsia="Adobe Caslon Pro" w:hAnsi="Adobe Caslon Pro" w:cs="Adobe Caslon Pro"/>
        </w:rPr>
        <w:t xml:space="preserve"> However, this article is ambiguous as it does not specify that the report must disclose their owners. </w:t>
      </w:r>
      <w:r w:rsidR="00E97C4E">
        <w:rPr>
          <w:rFonts w:ascii="Adobe Caslon Pro" w:eastAsia="Adobe Caslon Pro" w:hAnsi="Adobe Caslon Pro" w:cs="Adobe Caslon Pro"/>
        </w:rPr>
        <w:t>Hence, a limited and generalized information about financial revenues would suffice this requirement without causing any significant legal consequence for print, electronic and social media as they do not have a regulatory</w:t>
      </w:r>
      <w:r w:rsidR="00305858">
        <w:rPr>
          <w:rFonts w:ascii="Adobe Caslon Pro" w:eastAsia="Adobe Caslon Pro" w:hAnsi="Adobe Caslon Pro" w:cs="Adobe Caslon Pro"/>
        </w:rPr>
        <w:t xml:space="preserve"> or an oversight</w:t>
      </w:r>
      <w:r w:rsidR="00E97C4E">
        <w:rPr>
          <w:rFonts w:ascii="Adobe Caslon Pro" w:eastAsia="Adobe Caslon Pro" w:hAnsi="Adobe Caslon Pro" w:cs="Adobe Caslon Pro"/>
        </w:rPr>
        <w:t xml:space="preserve"> body. </w:t>
      </w:r>
    </w:p>
    <w:p w14:paraId="21967700" w14:textId="77777777" w:rsidR="00305858" w:rsidRDefault="005D00DF" w:rsidP="00305858">
      <w:pPr>
        <w:spacing w:before="60" w:after="60"/>
        <w:ind w:left="360"/>
        <w:jc w:val="both"/>
        <w:rPr>
          <w:rFonts w:ascii="Adobe Caslon Pro" w:eastAsia="Adobe Caslon Pro" w:hAnsi="Adobe Caslon Pro" w:cs="Adobe Caslon Pro"/>
        </w:rPr>
      </w:pPr>
      <w:r w:rsidRPr="005D00DF">
        <w:rPr>
          <w:rFonts w:ascii="Adobe Caslon Pro" w:eastAsia="Adobe Caslon Pro" w:hAnsi="Adobe Caslon Pro" w:cs="Adobe Caslon Pro"/>
        </w:rPr>
        <w:t>As mentioned above, besides the media legislation, laws that regulate state registration of legal entities, including disclosure and transparency requirements, also provide an effective legal framework for regulating media ownership as well. In this regard, the principle legislative act is the Law on State Registration of Legal Entities, State Enrollment of Designated Unites, Institutions and Individual Entrepreneurs of Legal Entities</w:t>
      </w:r>
      <w:r w:rsidR="0006292B">
        <w:rPr>
          <w:rFonts w:ascii="Adobe Caslon Pro" w:eastAsia="Adobe Caslon Pro" w:hAnsi="Adobe Caslon Pro" w:cs="Adobe Caslon Pro"/>
        </w:rPr>
        <w:t xml:space="preserve"> (hereafter Law on State-Registration of Legal Entities)</w:t>
      </w:r>
      <w:r w:rsidRPr="005D00DF">
        <w:rPr>
          <w:rFonts w:ascii="Adobe Caslon Pro" w:eastAsia="Adobe Caslon Pro" w:hAnsi="Adobe Caslon Pro" w:cs="Adobe Caslon Pro"/>
        </w:rPr>
        <w:t>. All legal entities, including those that operat</w:t>
      </w:r>
      <w:r w:rsidR="00305858">
        <w:rPr>
          <w:rFonts w:ascii="Adobe Caslon Pro" w:eastAsia="Adobe Caslon Pro" w:hAnsi="Adobe Caslon Pro" w:cs="Adobe Caslon Pro"/>
        </w:rPr>
        <w:t>e</w:t>
      </w:r>
      <w:r w:rsidRPr="005D00DF">
        <w:rPr>
          <w:rFonts w:ascii="Adobe Caslon Pro" w:eastAsia="Adobe Caslon Pro" w:hAnsi="Adobe Caslon Pro" w:cs="Adobe Caslon Pro"/>
        </w:rPr>
        <w:t xml:space="preserve"> media outlets, must register with the Agency of Legal Entities under the Ministry of Justice. The Agency operates an online portal</w:t>
      </w:r>
      <w:r w:rsidR="00C75B02">
        <w:rPr>
          <w:rFonts w:asciiTheme="minorHAnsi" w:eastAsia="Adobe Caslon Pro" w:hAnsiTheme="minorHAnsi" w:cs="Adobe Caslon Pro"/>
          <w:lang w:val="hy-AM"/>
        </w:rPr>
        <w:t xml:space="preserve"> -</w:t>
      </w:r>
      <w:r w:rsidRPr="005D00DF">
        <w:rPr>
          <w:rFonts w:ascii="Adobe Caslon Pro" w:eastAsia="Adobe Caslon Pro" w:hAnsi="Adobe Caslon Pro" w:cs="Adobe Caslon Pro"/>
        </w:rPr>
        <w:t xml:space="preserve"> Electronic Registry of Legal Entities </w:t>
      </w:r>
      <w:r w:rsidR="00C75B02">
        <w:rPr>
          <w:rFonts w:asciiTheme="minorHAnsi" w:eastAsia="Adobe Caslon Pro" w:hAnsiTheme="minorHAnsi" w:cs="Adobe Caslon Pro"/>
          <w:lang w:val="hy-AM"/>
        </w:rPr>
        <w:t xml:space="preserve">- </w:t>
      </w:r>
      <w:r w:rsidRPr="005D00DF">
        <w:rPr>
          <w:rFonts w:ascii="Adobe Caslon Pro" w:eastAsia="Adobe Caslon Pro" w:hAnsi="Adobe Caslon Pro" w:cs="Adobe Caslon Pro"/>
        </w:rPr>
        <w:t>which provides electronic data about companies such as date and place of registration, articles of incorporation, other information about companies. Under article 12 of the law, the Agency conducts registration of media entities as well. The legal entities that register with the Agency undertake to provide complex information such as papers of incorporation - charter,  registration certificate, founding papers, tax payer’s identification number, etc.,, including personal data on shareholders, the date of becoming a shareholder, the size of shares they hold, the date of termination of their rights as shareholders, etc. In addition to provision of information on shareholders, since 2021, with introduction of the Chapter 12.1 in the law, all business entities must disclose the names of their real beneficiaries and owners</w:t>
      </w:r>
      <w:r w:rsidR="00C75B02">
        <w:rPr>
          <w:rFonts w:ascii="Adobe Caslon Pro" w:eastAsia="Adobe Caslon Pro" w:hAnsi="Adobe Caslon Pro" w:cs="Adobe Caslon Pro"/>
        </w:rPr>
        <w:t>. This concept</w:t>
      </w:r>
      <w:r w:rsidR="00305858">
        <w:rPr>
          <w:rFonts w:ascii="Adobe Caslon Pro" w:eastAsia="Adobe Caslon Pro" w:hAnsi="Adobe Caslon Pro" w:cs="Adobe Caslon Pro"/>
        </w:rPr>
        <w:t xml:space="preserve"> was incorporated from the </w:t>
      </w:r>
      <w:r w:rsidR="00C75B02">
        <w:rPr>
          <w:rFonts w:ascii="Adobe Caslon Pro" w:eastAsia="Adobe Caslon Pro" w:hAnsi="Adobe Caslon Pro" w:cs="Adobe Caslon Pro"/>
        </w:rPr>
        <w:t xml:space="preserve">Law on the Fight Against Money Laundering and Financing of Terrorism which defines “real beneficiaries “ as those who effectively take part in a decision-making process of a company or hold at least 20% of shares. </w:t>
      </w:r>
    </w:p>
    <w:p w14:paraId="79FEEE71" w14:textId="1D9C595B" w:rsidR="005D00DF" w:rsidRPr="005D00DF" w:rsidRDefault="00305858" w:rsidP="00AD680E">
      <w:pPr>
        <w:spacing w:before="60" w:after="240"/>
        <w:ind w:left="360"/>
        <w:jc w:val="both"/>
        <w:rPr>
          <w:rFonts w:ascii="Adobe Caslon Pro" w:eastAsia="Adobe Caslon Pro" w:hAnsi="Adobe Caslon Pro" w:cs="Adobe Caslon Pro"/>
        </w:rPr>
      </w:pPr>
      <w:r>
        <w:rPr>
          <w:rFonts w:ascii="Adobe Caslon Pro" w:eastAsia="Adobe Caslon Pro" w:hAnsi="Adobe Caslon Pro" w:cs="Adobe Caslon Pro"/>
        </w:rPr>
        <w:t xml:space="preserve">Finally, the anti-competition legislation, namely, the Law on Protection of Economic Competition may also provide effective safeguards against concentration of media </w:t>
      </w:r>
      <w:r>
        <w:rPr>
          <w:rFonts w:ascii="Adobe Caslon Pro" w:eastAsia="Adobe Caslon Pro" w:hAnsi="Adobe Caslon Pro" w:cs="Adobe Caslon Pro"/>
        </w:rPr>
        <w:lastRenderedPageBreak/>
        <w:t xml:space="preserve">ownership as long as it affects fair market competition standards. In practice, though, this law has been rarely cited with regard to media concentration. </w:t>
      </w:r>
      <w:r w:rsidR="005D00DF" w:rsidRPr="005D00DF">
        <w:rPr>
          <w:rFonts w:ascii="Adobe Caslon Pro" w:eastAsia="Adobe Caslon Pro" w:hAnsi="Adobe Caslon Pro" w:cs="Adobe Caslon Pro"/>
        </w:rPr>
        <w:t xml:space="preserve"> </w:t>
      </w:r>
    </w:p>
    <w:p w14:paraId="5A45C53F" w14:textId="77777777" w:rsidR="00904FBA" w:rsidRDefault="00126021" w:rsidP="00AD680E">
      <w:pPr>
        <w:spacing w:before="120" w:after="16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t>I.2. Implementation – control and monitoring of media concentration</w:t>
      </w:r>
    </w:p>
    <w:p w14:paraId="53C9555D" w14:textId="47833CB9" w:rsidR="00BF2633" w:rsidRDefault="004247F8" w:rsidP="0025052E">
      <w:pPr>
        <w:spacing w:after="0"/>
        <w:ind w:left="360"/>
        <w:jc w:val="both"/>
        <w:rPr>
          <w:rFonts w:ascii="Adobe Caslon Pro" w:eastAsia="Adobe Caslon Pro" w:hAnsi="Adobe Caslon Pro" w:cs="Adobe Caslon Pro"/>
          <w:color w:val="000000"/>
        </w:rPr>
      </w:pPr>
      <w:r>
        <w:rPr>
          <w:rFonts w:ascii="Adobe Caslon Pro" w:eastAsia="Adobe Caslon Pro" w:hAnsi="Adobe Caslon Pro" w:cs="Adobe Caslon Pro"/>
          <w:color w:val="000000"/>
        </w:rPr>
        <w:t>The Television and Radio Commission, the national regulator of broadcasting media, is the institutional body addressing medi</w:t>
      </w:r>
      <w:r w:rsidR="00BF2633">
        <w:rPr>
          <w:rFonts w:ascii="Times New Roman" w:eastAsia="Adobe Caslon Pro" w:hAnsi="Times New Roman" w:cs="Times New Roman"/>
          <w:color w:val="000000"/>
        </w:rPr>
        <w:t>a</w:t>
      </w:r>
      <w:r>
        <w:rPr>
          <w:rFonts w:ascii="Adobe Caslon Pro" w:eastAsia="Adobe Caslon Pro" w:hAnsi="Adobe Caslon Pro" w:cs="Adobe Caslon Pro"/>
          <w:color w:val="000000"/>
        </w:rPr>
        <w:t xml:space="preserve"> concentration issues. The Commission requires the broadcasters, under the Law on Audiovisual Media, to submit periodic disclosure reports of founders, owners and shareholders</w:t>
      </w:r>
      <w:r w:rsidR="00BF2633">
        <w:rPr>
          <w:rFonts w:ascii="Adobe Caslon Pro" w:eastAsia="Adobe Caslon Pro" w:hAnsi="Adobe Caslon Pro" w:cs="Adobe Caslon Pro"/>
          <w:color w:val="000000"/>
        </w:rPr>
        <w:t xml:space="preserve">, including a periodic breakdown report of revenues and their sources. The Commission has an authority to impose administrative sanctions for failure to provide the above reports. Sanctions include warning, fines, suspension or termination of broadcasting license. Hence, if the broadcaster fails to provide accurate data about owners, including data on sources of income, the Commission may fine the entity or suspend </w:t>
      </w:r>
      <w:r w:rsidR="00FC1B26">
        <w:rPr>
          <w:rFonts w:ascii="Adobe Caslon Pro" w:eastAsia="Adobe Caslon Pro" w:hAnsi="Adobe Caslon Pro" w:cs="Adobe Caslon Pro"/>
          <w:color w:val="000000"/>
        </w:rPr>
        <w:t>or</w:t>
      </w:r>
      <w:r w:rsidR="00BF2633">
        <w:rPr>
          <w:rFonts w:ascii="Adobe Caslon Pro" w:eastAsia="Adobe Caslon Pro" w:hAnsi="Adobe Caslon Pro" w:cs="Adobe Caslon Pro"/>
          <w:color w:val="000000"/>
        </w:rPr>
        <w:t xml:space="preserve"> terminate the</w:t>
      </w:r>
      <w:r w:rsidR="00FC1B26">
        <w:rPr>
          <w:rFonts w:ascii="Adobe Caslon Pro" w:eastAsia="Adobe Caslon Pro" w:hAnsi="Adobe Caslon Pro" w:cs="Adobe Caslon Pro"/>
          <w:color w:val="000000"/>
        </w:rPr>
        <w:t xml:space="preserve"> broadcasting</w:t>
      </w:r>
      <w:r w:rsidR="00BF2633">
        <w:rPr>
          <w:rFonts w:ascii="Adobe Caslon Pro" w:eastAsia="Adobe Caslon Pro" w:hAnsi="Adobe Caslon Pro" w:cs="Adobe Caslon Pro"/>
          <w:color w:val="000000"/>
        </w:rPr>
        <w:t xml:space="preserve"> license. Given that provision of </w:t>
      </w:r>
      <w:r w:rsidR="00FC1B26">
        <w:rPr>
          <w:rFonts w:ascii="Adobe Caslon Pro" w:eastAsia="Adobe Caslon Pro" w:hAnsi="Adobe Caslon Pro" w:cs="Adobe Caslon Pro"/>
          <w:color w:val="000000"/>
        </w:rPr>
        <w:t xml:space="preserve">a </w:t>
      </w:r>
      <w:r w:rsidR="00BF2633">
        <w:rPr>
          <w:rFonts w:ascii="Adobe Caslon Pro" w:eastAsia="Adobe Caslon Pro" w:hAnsi="Adobe Caslon Pro" w:cs="Adobe Caslon Pro"/>
          <w:color w:val="000000"/>
        </w:rPr>
        <w:t xml:space="preserve">fake data about owners of a company is </w:t>
      </w:r>
      <w:r w:rsidR="00FC1B26">
        <w:rPr>
          <w:rFonts w:ascii="Adobe Caslon Pro" w:eastAsia="Adobe Caslon Pro" w:hAnsi="Adobe Caslon Pro" w:cs="Adobe Caslon Pro"/>
          <w:color w:val="000000"/>
        </w:rPr>
        <w:t xml:space="preserve">also </w:t>
      </w:r>
      <w:r w:rsidR="00BF2633">
        <w:rPr>
          <w:rFonts w:ascii="Adobe Caslon Pro" w:eastAsia="Adobe Caslon Pro" w:hAnsi="Adobe Caslon Pro" w:cs="Adobe Caslon Pro"/>
          <w:color w:val="000000"/>
        </w:rPr>
        <w:t xml:space="preserve">a crime (article 294 of the Criminal Code), the Commission, upon discovery of such information, may report of such incident to </w:t>
      </w:r>
      <w:r w:rsidR="00305858">
        <w:rPr>
          <w:rFonts w:ascii="Adobe Caslon Pro" w:eastAsia="Adobe Caslon Pro" w:hAnsi="Adobe Caslon Pro" w:cs="Adobe Caslon Pro"/>
          <w:color w:val="000000"/>
        </w:rPr>
        <w:t xml:space="preserve">a </w:t>
      </w:r>
      <w:r w:rsidR="00BF2633">
        <w:rPr>
          <w:rFonts w:ascii="Adobe Caslon Pro" w:eastAsia="Adobe Caslon Pro" w:hAnsi="Adobe Caslon Pro" w:cs="Adobe Caslon Pro"/>
          <w:color w:val="000000"/>
        </w:rPr>
        <w:t>law enforcement bod</w:t>
      </w:r>
      <w:r w:rsidR="00305858">
        <w:rPr>
          <w:rFonts w:ascii="Adobe Caslon Pro" w:eastAsia="Adobe Caslon Pro" w:hAnsi="Adobe Caslon Pro" w:cs="Adobe Caslon Pro"/>
          <w:color w:val="000000"/>
        </w:rPr>
        <w:t>y</w:t>
      </w:r>
      <w:r w:rsidR="00BF2633">
        <w:rPr>
          <w:rFonts w:ascii="Adobe Caslon Pro" w:eastAsia="Adobe Caslon Pro" w:hAnsi="Adobe Caslon Pro" w:cs="Adobe Caslon Pro"/>
          <w:color w:val="000000"/>
        </w:rPr>
        <w:t xml:space="preserve"> in order to have criminal proceedings instituted against alleged offenders. </w:t>
      </w:r>
      <w:r w:rsidR="002B22B0">
        <w:rPr>
          <w:rFonts w:ascii="Adobe Caslon Pro" w:eastAsia="Adobe Caslon Pro" w:hAnsi="Adobe Caslon Pro" w:cs="Adobe Caslon Pro"/>
          <w:color w:val="000000"/>
        </w:rPr>
        <w:t>The above authorities of the Commission apply to entities that operate cable TV</w:t>
      </w:r>
      <w:r w:rsidR="00FC1B26">
        <w:rPr>
          <w:rFonts w:ascii="Adobe Caslon Pro" w:eastAsia="Adobe Caslon Pro" w:hAnsi="Adobe Caslon Pro" w:cs="Adobe Caslon Pro"/>
          <w:color w:val="000000"/>
        </w:rPr>
        <w:t xml:space="preserve"> as well</w:t>
      </w:r>
      <w:r w:rsidR="002B22B0">
        <w:rPr>
          <w:rFonts w:ascii="Adobe Caslon Pro" w:eastAsia="Adobe Caslon Pro" w:hAnsi="Adobe Caslon Pro" w:cs="Adobe Caslon Pro"/>
          <w:color w:val="000000"/>
        </w:rPr>
        <w:t xml:space="preserve">. As a rule, those are digital network operators. </w:t>
      </w:r>
    </w:p>
    <w:p w14:paraId="1861D650" w14:textId="251BC82A" w:rsidR="00AD680E" w:rsidRDefault="002B22B0" w:rsidP="0006292B">
      <w:pPr>
        <w:spacing w:before="120" w:after="0"/>
        <w:ind w:left="360"/>
        <w:jc w:val="both"/>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As regards other types of media such as print media, electronic media and social media, there is no institutional body regulating their activities. The Commission on Television and Radio has no authority over them. There is no specific media ownership legislation with regard to print, electronic and social media. </w:t>
      </w:r>
      <w:r w:rsidR="0006292B">
        <w:rPr>
          <w:rFonts w:ascii="Adobe Caslon Pro" w:eastAsia="Adobe Caslon Pro" w:hAnsi="Adobe Caslon Pro" w:cs="Adobe Caslon Pro"/>
          <w:color w:val="000000"/>
        </w:rPr>
        <w:t xml:space="preserve">The Law on Mass Media only requires them to publish information about the </w:t>
      </w:r>
      <w:r w:rsidR="00C75B02">
        <w:rPr>
          <w:rFonts w:ascii="Adobe Caslon Pro" w:eastAsia="Adobe Caslon Pro" w:hAnsi="Adobe Caslon Pro" w:cs="Adobe Caslon Pro"/>
          <w:color w:val="000000"/>
        </w:rPr>
        <w:t xml:space="preserve">entity </w:t>
      </w:r>
      <w:r w:rsidR="0006292B">
        <w:rPr>
          <w:rFonts w:ascii="Adobe Caslon Pro" w:eastAsia="Adobe Caslon Pro" w:hAnsi="Adobe Caslon Pro" w:cs="Adobe Caslon Pro"/>
          <w:color w:val="000000"/>
        </w:rPr>
        <w:t>that operates the media outlet, as indicated above. The</w:t>
      </w:r>
      <w:r w:rsidR="00C75B02">
        <w:rPr>
          <w:rFonts w:ascii="Adobe Caslon Pro" w:eastAsia="Adobe Caslon Pro" w:hAnsi="Adobe Caslon Pro" w:cs="Adobe Caslon Pro"/>
          <w:color w:val="000000"/>
        </w:rPr>
        <w:t>y</w:t>
      </w:r>
      <w:r w:rsidR="0006292B">
        <w:rPr>
          <w:rFonts w:ascii="Adobe Caslon Pro" w:eastAsia="Adobe Caslon Pro" w:hAnsi="Adobe Caslon Pro" w:cs="Adobe Caslon Pro"/>
          <w:color w:val="000000"/>
        </w:rPr>
        <w:t xml:space="preserve"> have </w:t>
      </w:r>
      <w:r w:rsidR="00FC1B26">
        <w:rPr>
          <w:rFonts w:ascii="Adobe Caslon Pro" w:eastAsia="Adobe Caslon Pro" w:hAnsi="Adobe Caslon Pro" w:cs="Adobe Caslon Pro"/>
          <w:color w:val="000000"/>
        </w:rPr>
        <w:t xml:space="preserve">a general </w:t>
      </w:r>
      <w:r w:rsidR="0006292B">
        <w:rPr>
          <w:rFonts w:ascii="Adobe Caslon Pro" w:eastAsia="Adobe Caslon Pro" w:hAnsi="Adobe Caslon Pro" w:cs="Adobe Caslon Pro"/>
          <w:color w:val="000000"/>
        </w:rPr>
        <w:t>obligation to disclose their owners and “real beneficiaries” like all other commercial entities through the above-cited Law on State-Registration of Legal Entities</w:t>
      </w:r>
      <w:r w:rsidR="00305858">
        <w:rPr>
          <w:rFonts w:ascii="Adobe Caslon Pro" w:eastAsia="Adobe Caslon Pro" w:hAnsi="Adobe Caslon Pro" w:cs="Adobe Caslon Pro"/>
          <w:color w:val="000000"/>
        </w:rPr>
        <w:t xml:space="preserve">, including the </w:t>
      </w:r>
      <w:r w:rsidR="00C75B02">
        <w:rPr>
          <w:rFonts w:ascii="Adobe Caslon Pro" w:eastAsia="Adobe Caslon Pro" w:hAnsi="Adobe Caslon Pro" w:cs="Adobe Caslon Pro"/>
          <w:color w:val="000000"/>
        </w:rPr>
        <w:t xml:space="preserve">anti-money laundering law </w:t>
      </w:r>
      <w:r w:rsidR="00305858">
        <w:rPr>
          <w:rFonts w:ascii="Adobe Caslon Pro" w:eastAsia="Adobe Caslon Pro" w:hAnsi="Adobe Caslon Pro" w:cs="Adobe Caslon Pro"/>
          <w:color w:val="000000"/>
        </w:rPr>
        <w:t>and anti-monopoly legislation</w:t>
      </w:r>
      <w:r w:rsidR="00C75B02">
        <w:rPr>
          <w:rFonts w:ascii="Adobe Caslon Pro" w:eastAsia="Adobe Caslon Pro" w:hAnsi="Adobe Caslon Pro" w:cs="Adobe Caslon Pro"/>
          <w:color w:val="000000"/>
        </w:rPr>
        <w:t>.</w:t>
      </w:r>
      <w:r w:rsidR="00AD680E">
        <w:rPr>
          <w:rFonts w:ascii="Adobe Caslon Pro" w:eastAsia="Adobe Caslon Pro" w:hAnsi="Adobe Caslon Pro" w:cs="Adobe Caslon Pro"/>
          <w:color w:val="000000"/>
        </w:rPr>
        <w:t xml:space="preserve"> </w:t>
      </w:r>
    </w:p>
    <w:p w14:paraId="5108ED18" w14:textId="146EA218" w:rsidR="002838C7" w:rsidRDefault="00AD680E" w:rsidP="0006292B">
      <w:pPr>
        <w:spacing w:before="120" w:after="0"/>
        <w:ind w:left="360"/>
        <w:jc w:val="both"/>
        <w:rPr>
          <w:rFonts w:ascii="Adobe Caslon Pro" w:eastAsia="Adobe Caslon Pro" w:hAnsi="Adobe Caslon Pro" w:cs="Adobe Caslon Pro"/>
          <w:color w:val="000000"/>
        </w:rPr>
      </w:pPr>
      <w:r>
        <w:rPr>
          <w:rFonts w:ascii="Adobe Caslon Pro" w:eastAsia="Adobe Caslon Pro" w:hAnsi="Adobe Caslon Pro" w:cs="Adobe Caslon Pro"/>
          <w:color w:val="000000"/>
        </w:rPr>
        <w:t>The Law on Audiovisual Media has provision</w:t>
      </w:r>
      <w:r w:rsidR="00556844">
        <w:rPr>
          <w:rFonts w:ascii="Adobe Caslon Pro" w:eastAsia="Adobe Caslon Pro" w:hAnsi="Adobe Caslon Pro" w:cs="Adobe Caslon Pro"/>
          <w:color w:val="000000"/>
        </w:rPr>
        <w:t xml:space="preserve">s </w:t>
      </w:r>
      <w:r w:rsidR="00FC1B26">
        <w:rPr>
          <w:rFonts w:ascii="Adobe Caslon Pro" w:eastAsia="Adobe Caslon Pro" w:hAnsi="Adobe Caslon Pro" w:cs="Adobe Caslon Pro"/>
          <w:color w:val="000000"/>
        </w:rPr>
        <w:t xml:space="preserve">for prevention and </w:t>
      </w:r>
      <w:r w:rsidR="00556844">
        <w:rPr>
          <w:rFonts w:ascii="Adobe Caslon Pro" w:eastAsia="Adobe Caslon Pro" w:hAnsi="Adobe Caslon Pro" w:cs="Adobe Caslon Pro"/>
          <w:color w:val="000000"/>
        </w:rPr>
        <w:t>minimiz</w:t>
      </w:r>
      <w:r w:rsidR="00305858">
        <w:rPr>
          <w:rFonts w:ascii="Adobe Caslon Pro" w:eastAsia="Adobe Caslon Pro" w:hAnsi="Adobe Caslon Pro" w:cs="Adobe Caslon Pro"/>
          <w:color w:val="000000"/>
        </w:rPr>
        <w:t>ing</w:t>
      </w:r>
      <w:r w:rsidR="00556844">
        <w:rPr>
          <w:rFonts w:ascii="Adobe Caslon Pro" w:eastAsia="Adobe Caslon Pro" w:hAnsi="Adobe Caslon Pro" w:cs="Adobe Caslon Pro"/>
          <w:color w:val="000000"/>
        </w:rPr>
        <w:t xml:space="preserve"> the risk of </w:t>
      </w:r>
      <w:r>
        <w:rPr>
          <w:rFonts w:ascii="Adobe Caslon Pro" w:eastAsia="Adobe Caslon Pro" w:hAnsi="Adobe Caslon Pro" w:cs="Adobe Caslon Pro"/>
          <w:color w:val="000000"/>
        </w:rPr>
        <w:t xml:space="preserve">political interference in media ownership. Article 15 stipulates that founders of private media entities cannot be the President of Armenia and persons affiliated with him, state and municipal bodies, members of the government and </w:t>
      </w:r>
      <w:r w:rsidR="00556844">
        <w:rPr>
          <w:rFonts w:ascii="Adobe Caslon Pro" w:eastAsia="Adobe Caslon Pro" w:hAnsi="Adobe Caslon Pro" w:cs="Adobe Caslon Pro"/>
          <w:color w:val="000000"/>
        </w:rPr>
        <w:t xml:space="preserve">their </w:t>
      </w:r>
      <w:r>
        <w:rPr>
          <w:rFonts w:ascii="Adobe Caslon Pro" w:eastAsia="Adobe Caslon Pro" w:hAnsi="Adobe Caslon Pro" w:cs="Adobe Caslon Pro"/>
          <w:color w:val="000000"/>
        </w:rPr>
        <w:t xml:space="preserve">affiliated persons, political parties, religious organizations, etc. </w:t>
      </w:r>
      <w:r w:rsidR="00115930">
        <w:rPr>
          <w:rFonts w:ascii="Adobe Caslon Pro" w:eastAsia="Adobe Caslon Pro" w:hAnsi="Adobe Caslon Pro" w:cs="Adobe Caslon Pro"/>
          <w:color w:val="000000"/>
        </w:rPr>
        <w:t>Such g</w:t>
      </w:r>
      <w:r>
        <w:rPr>
          <w:rFonts w:ascii="Adobe Caslon Pro" w:eastAsia="Adobe Caslon Pro" w:hAnsi="Adobe Caslon Pro" w:cs="Adobe Caslon Pro"/>
          <w:color w:val="000000"/>
        </w:rPr>
        <w:t xml:space="preserve">uarantees are absent in the Law on Mass Media and other laws regulating </w:t>
      </w:r>
      <w:r w:rsidR="00556844">
        <w:rPr>
          <w:rFonts w:ascii="Adobe Caslon Pro" w:eastAsia="Adobe Caslon Pro" w:hAnsi="Adobe Caslon Pro" w:cs="Adobe Caslon Pro"/>
          <w:color w:val="000000"/>
        </w:rPr>
        <w:t xml:space="preserve">social and electronic media such as the Law on Electronic Communications which regulates the Internet </w:t>
      </w:r>
      <w:r w:rsidR="00305858">
        <w:rPr>
          <w:rFonts w:ascii="Adobe Caslon Pro" w:eastAsia="Adobe Caslon Pro" w:hAnsi="Adobe Caslon Pro" w:cs="Adobe Caslon Pro"/>
          <w:color w:val="000000"/>
        </w:rPr>
        <w:t>service providers</w:t>
      </w:r>
      <w:r w:rsidR="00556844">
        <w:rPr>
          <w:rFonts w:ascii="Adobe Caslon Pro" w:eastAsia="Adobe Caslon Pro" w:hAnsi="Adobe Caslon Pro" w:cs="Adobe Caslon Pro"/>
          <w:color w:val="000000"/>
        </w:rPr>
        <w:t xml:space="preserve">. </w:t>
      </w:r>
    </w:p>
    <w:p w14:paraId="187D5465" w14:textId="73294D8A" w:rsidR="002838C7" w:rsidRDefault="002838C7" w:rsidP="0079046B">
      <w:pPr>
        <w:spacing w:before="60" w:after="120"/>
        <w:ind w:left="360"/>
        <w:jc w:val="both"/>
        <w:rPr>
          <w:rFonts w:ascii="Adobe Caslon Pro" w:eastAsia="Adobe Caslon Pro" w:hAnsi="Adobe Caslon Pro" w:cs="Adobe Caslon Pro"/>
          <w:color w:val="000000"/>
        </w:rPr>
      </w:pPr>
      <w:r>
        <w:rPr>
          <w:rFonts w:ascii="Adobe Caslon Pro" w:eastAsia="Adobe Caslon Pro" w:hAnsi="Adobe Caslon Pro" w:cs="Adobe Caslon Pro"/>
          <w:color w:val="000000"/>
        </w:rPr>
        <w:t>There are no specific laws, criteria or methods to assess the level of media concentration such as legal thresholds, assessment of audience share, circulation, distribution of share capital or voting rights, or methods to assess horizontal or vertical integration</w:t>
      </w:r>
      <w:r w:rsidR="00BA651B">
        <w:rPr>
          <w:rFonts w:ascii="Adobe Caslon Pro" w:eastAsia="Adobe Caslon Pro" w:hAnsi="Adobe Caslon Pro" w:cs="Adobe Caslon Pro"/>
          <w:color w:val="000000"/>
        </w:rPr>
        <w:t xml:space="preserve"> of media entities</w:t>
      </w:r>
      <w:r>
        <w:rPr>
          <w:rFonts w:ascii="Adobe Caslon Pro" w:eastAsia="Adobe Caslon Pro" w:hAnsi="Adobe Caslon Pro" w:cs="Adobe Caslon Pro"/>
          <w:color w:val="000000"/>
        </w:rPr>
        <w:t xml:space="preserve">. </w:t>
      </w:r>
      <w:r w:rsidR="00BA651B">
        <w:rPr>
          <w:rFonts w:ascii="Adobe Caslon Pro" w:eastAsia="Adobe Caslon Pro" w:hAnsi="Adobe Caslon Pro" w:cs="Adobe Caslon Pro"/>
          <w:color w:val="000000"/>
        </w:rPr>
        <w:t>The Audiovisual Law provides for rules of conducting metric measurements but those are defined for measuring public ratings of broadcasters rather than media concentration. Despite high allegations and on-going rumors of high media concentration in Armenia, there has been no</w:t>
      </w:r>
      <w:r w:rsidR="00F4354E">
        <w:rPr>
          <w:rFonts w:ascii="Adobe Caslon Pro" w:eastAsia="Adobe Caslon Pro" w:hAnsi="Adobe Caslon Pro" w:cs="Adobe Caslon Pro"/>
          <w:color w:val="000000"/>
        </w:rPr>
        <w:t>t a</w:t>
      </w:r>
      <w:r w:rsidR="00BA651B">
        <w:rPr>
          <w:rFonts w:ascii="Adobe Caslon Pro" w:eastAsia="Adobe Caslon Pro" w:hAnsi="Adobe Caslon Pro" w:cs="Adobe Caslon Pro"/>
          <w:color w:val="000000"/>
        </w:rPr>
        <w:t xml:space="preserve"> single </w:t>
      </w:r>
      <w:r w:rsidR="00F4354E">
        <w:rPr>
          <w:rFonts w:ascii="Adobe Caslon Pro" w:eastAsia="Adobe Caslon Pro" w:hAnsi="Adobe Caslon Pro" w:cs="Adobe Caslon Pro"/>
          <w:color w:val="000000"/>
        </w:rPr>
        <w:t>instituted proceeding</w:t>
      </w:r>
      <w:r w:rsidR="00BA651B">
        <w:rPr>
          <w:rFonts w:ascii="Adobe Caslon Pro" w:eastAsia="Adobe Caslon Pro" w:hAnsi="Adobe Caslon Pro" w:cs="Adobe Caslon Pro"/>
          <w:color w:val="000000"/>
        </w:rPr>
        <w:t xml:space="preserve">, </w:t>
      </w:r>
      <w:r w:rsidR="00F4354E">
        <w:rPr>
          <w:rFonts w:ascii="Adobe Caslon Pro" w:eastAsia="Adobe Caslon Pro" w:hAnsi="Adobe Caslon Pro" w:cs="Adobe Caslon Pro"/>
          <w:color w:val="000000"/>
        </w:rPr>
        <w:t xml:space="preserve">of </w:t>
      </w:r>
      <w:r w:rsidR="00BA651B">
        <w:rPr>
          <w:rFonts w:ascii="Adobe Caslon Pro" w:eastAsia="Adobe Caslon Pro" w:hAnsi="Adobe Caslon Pro" w:cs="Adobe Caslon Pro"/>
          <w:color w:val="000000"/>
        </w:rPr>
        <w:t xml:space="preserve">administrative or </w:t>
      </w:r>
      <w:r w:rsidR="00F4354E">
        <w:rPr>
          <w:rFonts w:ascii="Adobe Caslon Pro" w:eastAsia="Adobe Caslon Pro" w:hAnsi="Adobe Caslon Pro" w:cs="Adobe Caslon Pro"/>
          <w:color w:val="000000"/>
        </w:rPr>
        <w:t xml:space="preserve">of a </w:t>
      </w:r>
      <w:r w:rsidR="00F4354E">
        <w:rPr>
          <w:rFonts w:ascii="Adobe Caslon Pro" w:eastAsia="Adobe Caslon Pro" w:hAnsi="Adobe Caslon Pro" w:cs="Adobe Caslon Pro"/>
          <w:color w:val="000000"/>
        </w:rPr>
        <w:lastRenderedPageBreak/>
        <w:t xml:space="preserve">criminal nature, where the </w:t>
      </w:r>
      <w:r w:rsidR="00BA651B">
        <w:rPr>
          <w:rFonts w:ascii="Adobe Caslon Pro" w:eastAsia="Adobe Caslon Pro" w:hAnsi="Adobe Caslon Pro" w:cs="Adobe Caslon Pro"/>
          <w:color w:val="000000"/>
        </w:rPr>
        <w:t xml:space="preserve">subject matter of the </w:t>
      </w:r>
      <w:r w:rsidR="00F4354E">
        <w:rPr>
          <w:rFonts w:ascii="Adobe Caslon Pro" w:eastAsia="Adobe Caslon Pro" w:hAnsi="Adobe Caslon Pro" w:cs="Adobe Caslon Pro"/>
          <w:color w:val="000000"/>
        </w:rPr>
        <w:t xml:space="preserve">proceeding was a media concentration – a merger with political intent or control by a single person, company or a group of significant media resources. </w:t>
      </w:r>
      <w:r w:rsidR="00BA651B">
        <w:rPr>
          <w:rFonts w:ascii="Adobe Caslon Pro" w:eastAsia="Adobe Caslon Pro" w:hAnsi="Adobe Caslon Pro" w:cs="Adobe Caslon Pro"/>
          <w:color w:val="000000"/>
        </w:rPr>
        <w:t xml:space="preserve"> </w:t>
      </w:r>
      <w:r w:rsidR="00F4354E">
        <w:rPr>
          <w:rFonts w:ascii="Adobe Caslon Pro" w:eastAsia="Adobe Caslon Pro" w:hAnsi="Adobe Caslon Pro" w:cs="Adobe Caslon Pro"/>
          <w:color w:val="000000"/>
        </w:rPr>
        <w:t>Despite there have been many journalistic reports about the above matter, no proceeding</w:t>
      </w:r>
      <w:r w:rsidR="006A490B">
        <w:rPr>
          <w:rFonts w:ascii="Adobe Caslon Pro" w:eastAsia="Adobe Caslon Pro" w:hAnsi="Adobe Caslon Pro" w:cs="Adobe Caslon Pro"/>
          <w:color w:val="000000"/>
        </w:rPr>
        <w:t xml:space="preserve"> (administrative or criminal)</w:t>
      </w:r>
      <w:r w:rsidR="00F4354E">
        <w:rPr>
          <w:rFonts w:ascii="Adobe Caslon Pro" w:eastAsia="Adobe Caslon Pro" w:hAnsi="Adobe Caslon Pro" w:cs="Adobe Caslon Pro"/>
          <w:color w:val="000000"/>
        </w:rPr>
        <w:t xml:space="preserve"> was instituted either by the National Television of Radio Commission or law enforcement bodes on the basis of such reports. </w:t>
      </w:r>
    </w:p>
    <w:p w14:paraId="61B5F852"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t>I.3. Transparency of media ownership</w:t>
      </w:r>
    </w:p>
    <w:p w14:paraId="716D4027" w14:textId="3A5E4A1C" w:rsidR="00115930" w:rsidRDefault="00115930" w:rsidP="00D224E8">
      <w:pPr>
        <w:spacing w:before="12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 xml:space="preserve">The broadcasting media entities (television and radio) have to disclose their ownership, investment and revenue sources as they have to submit annual </w:t>
      </w:r>
      <w:r w:rsidR="00D224E8">
        <w:rPr>
          <w:rFonts w:ascii="Adobe Caslon Pro" w:eastAsia="Adobe Caslon Pro" w:hAnsi="Adobe Caslon Pro" w:cs="Adobe Caslon Pro"/>
        </w:rPr>
        <w:t xml:space="preserve">breakdown </w:t>
      </w:r>
      <w:r>
        <w:rPr>
          <w:rFonts w:ascii="Adobe Caslon Pro" w:eastAsia="Adobe Caslon Pro" w:hAnsi="Adobe Caslon Pro" w:cs="Adobe Caslon Pro"/>
        </w:rPr>
        <w:t xml:space="preserve">report to the </w:t>
      </w:r>
      <w:r w:rsidR="00D224E8">
        <w:rPr>
          <w:rFonts w:ascii="Adobe Caslon Pro" w:eastAsia="Adobe Caslon Pro" w:hAnsi="Adobe Caslon Pro" w:cs="Adobe Caslon Pro"/>
        </w:rPr>
        <w:t>Television and Radio Commission of their revenue</w:t>
      </w:r>
      <w:r w:rsidR="00436C76">
        <w:rPr>
          <w:rFonts w:ascii="Adobe Caslon Pro" w:eastAsia="Adobe Caslon Pro" w:hAnsi="Adobe Caslon Pro" w:cs="Adobe Caslon Pro"/>
        </w:rPr>
        <w:t xml:space="preserve">. </w:t>
      </w:r>
      <w:r w:rsidR="00D224E8">
        <w:rPr>
          <w:rFonts w:ascii="Adobe Caslon Pro" w:eastAsia="Adobe Caslon Pro" w:hAnsi="Adobe Caslon Pro" w:cs="Adobe Caslon Pro"/>
        </w:rPr>
        <w:t xml:space="preserve">This is a binding commitment under the Law on Audiovisual Media. In practice, it appears this requirement is met as there have been </w:t>
      </w:r>
      <w:r w:rsidR="003B5406">
        <w:rPr>
          <w:rFonts w:ascii="Adobe Caslon Pro" w:eastAsia="Adobe Caslon Pro" w:hAnsi="Adobe Caslon Pro" w:cs="Adobe Caslon Pro"/>
        </w:rPr>
        <w:t xml:space="preserve">many administrative proceedings instituted </w:t>
      </w:r>
      <w:r w:rsidR="00D224E8">
        <w:rPr>
          <w:rFonts w:ascii="Adobe Caslon Pro" w:eastAsia="Adobe Caslon Pro" w:hAnsi="Adobe Caslon Pro" w:cs="Adobe Caslon Pro"/>
        </w:rPr>
        <w:t xml:space="preserve">by the Commission against media companies for failure to provide such reports. </w:t>
      </w:r>
      <w:r w:rsidR="003B5406">
        <w:rPr>
          <w:rFonts w:ascii="Adobe Caslon Pro" w:eastAsia="Adobe Caslon Pro" w:hAnsi="Adobe Caslon Pro" w:cs="Adobe Caslon Pro"/>
        </w:rPr>
        <w:t xml:space="preserve">This practice especially developed since 2021 when the requirement to provide annual report on income and owners was introduced in the law. </w:t>
      </w:r>
      <w:r w:rsidR="00D224E8">
        <w:rPr>
          <w:rFonts w:ascii="Adobe Caslon Pro" w:eastAsia="Adobe Caslon Pro" w:hAnsi="Adobe Caslon Pro" w:cs="Adobe Caslon Pro"/>
        </w:rPr>
        <w:t xml:space="preserve">The companies and network operators that provide cable TV services also come under this regulation as they are bound by the Audiovisual Media Law. The Commission does not have investigative power to conduct in depth analysis of those reports. However, it may report the law enforcement bodies if it has a reasonable suspicion that a media company has not reported of a real beneficiary (owner, shareholder). </w:t>
      </w:r>
      <w:r w:rsidR="00436C76">
        <w:rPr>
          <w:rFonts w:ascii="Adobe Caslon Pro" w:eastAsia="Adobe Caslon Pro" w:hAnsi="Adobe Caslon Pro" w:cs="Adobe Caslon Pro"/>
        </w:rPr>
        <w:t xml:space="preserve">The information provided to the Commission is not accessible to the public. Hence, the State Registry remains the only source from where the public may get information about owners of broadcasting entities. The Registry provides the following information on its portal; the names and addresses of owners, the periods of being an owner, the size of shares and the market value of </w:t>
      </w:r>
      <w:r w:rsidR="000F01E0">
        <w:rPr>
          <w:rFonts w:ascii="Adobe Caslon Pro" w:eastAsia="Adobe Caslon Pro" w:hAnsi="Adobe Caslon Pro" w:cs="Adobe Caslon Pro"/>
        </w:rPr>
        <w:t xml:space="preserve">the </w:t>
      </w:r>
      <w:r w:rsidR="00436C76">
        <w:rPr>
          <w:rFonts w:ascii="Adobe Caslon Pro" w:eastAsia="Adobe Caslon Pro" w:hAnsi="Adobe Caslon Pro" w:cs="Adobe Caslon Pro"/>
        </w:rPr>
        <w:t>shares. In addition, as already said above, public may have access to corporate papers of an organization such as certificate of registration, charter,</w:t>
      </w:r>
      <w:r w:rsidR="000F01E0">
        <w:rPr>
          <w:rFonts w:ascii="Adobe Caslon Pro" w:eastAsia="Adobe Caslon Pro" w:hAnsi="Adobe Caslon Pro" w:cs="Adobe Caslon Pro"/>
        </w:rPr>
        <w:t xml:space="preserve"> amendments done in the papers such as change of ownership,</w:t>
      </w:r>
      <w:r w:rsidR="00436C76">
        <w:rPr>
          <w:rFonts w:ascii="Adobe Caslon Pro" w:eastAsia="Adobe Caslon Pro" w:hAnsi="Adobe Caslon Pro" w:cs="Adobe Caslon Pro"/>
        </w:rPr>
        <w:t xml:space="preserve"> etc. </w:t>
      </w:r>
    </w:p>
    <w:p w14:paraId="642CCCF9" w14:textId="09C00E07" w:rsidR="00D224E8" w:rsidRDefault="00D224E8" w:rsidP="00D224E8">
      <w:pPr>
        <w:spacing w:before="12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 xml:space="preserve">The print, electronic and social media are out of the scope of the Audiovisual Media Law. But they still have to report of ownership under the Law on State Registration of Legal Entities. </w:t>
      </w:r>
      <w:r w:rsidR="000F01E0">
        <w:rPr>
          <w:rFonts w:ascii="Adobe Caslon Pro" w:eastAsia="Adobe Caslon Pro" w:hAnsi="Adobe Caslon Pro" w:cs="Adobe Caslon Pro"/>
        </w:rPr>
        <w:t>They have obligation to report every time when a significant change occurs such as change of owner, change of size of shares, etc.</w:t>
      </w:r>
      <w:r>
        <w:rPr>
          <w:rFonts w:ascii="Adobe Caslon Pro" w:eastAsia="Adobe Caslon Pro" w:hAnsi="Adobe Caslon Pro" w:cs="Adobe Caslon Pro"/>
        </w:rPr>
        <w:t xml:space="preserve">. No periodic reporting obligation is set by a legislation. In practice, most of </w:t>
      </w:r>
      <w:r w:rsidR="004F5AF9">
        <w:rPr>
          <w:rFonts w:ascii="Adobe Caslon Pro" w:eastAsia="Adobe Caslon Pro" w:hAnsi="Adobe Caslon Pro" w:cs="Adobe Caslon Pro"/>
        </w:rPr>
        <w:t xml:space="preserve">the print, electronic and social media </w:t>
      </w:r>
      <w:r>
        <w:rPr>
          <w:rFonts w:ascii="Adobe Caslon Pro" w:eastAsia="Adobe Caslon Pro" w:hAnsi="Adobe Caslon Pro" w:cs="Adobe Caslon Pro"/>
        </w:rPr>
        <w:t xml:space="preserve">entities do not provide a periodic reporting even though the Mass Media Law obligates them to public information </w:t>
      </w:r>
      <w:r w:rsidR="000F01E0">
        <w:rPr>
          <w:rFonts w:ascii="Adobe Caslon Pro" w:eastAsia="Adobe Caslon Pro" w:hAnsi="Adobe Caslon Pro" w:cs="Adobe Caslon Pro"/>
        </w:rPr>
        <w:t>of r</w:t>
      </w:r>
      <w:r>
        <w:rPr>
          <w:rFonts w:ascii="Adobe Caslon Pro" w:eastAsia="Adobe Caslon Pro" w:hAnsi="Adobe Caslon Pro" w:cs="Adobe Caslon Pro"/>
        </w:rPr>
        <w:t>evenues on their platforms.</w:t>
      </w:r>
      <w:r w:rsidR="004F5AF9">
        <w:rPr>
          <w:rFonts w:ascii="Adobe Caslon Pro" w:eastAsia="Adobe Caslon Pro" w:hAnsi="Adobe Caslon Pro" w:cs="Adobe Caslon Pro"/>
        </w:rPr>
        <w:t xml:space="preserve"> Hence, it is a wide practice that, for example, an online news outlet does periodic reporting of daily news whereas the platform provides absolutely no information about the company (e.g. LLC, CJSC, Foundation, NGO, etc.) that operates the news platform. The only exception would be the name of the chief-editor which, as rule, appears on the platforms. </w:t>
      </w:r>
      <w:r w:rsidR="00C41BC7">
        <w:rPr>
          <w:rFonts w:ascii="Adobe Caslon Pro" w:eastAsia="Adobe Caslon Pro" w:hAnsi="Adobe Caslon Pro" w:cs="Adobe Caslon Pro"/>
        </w:rPr>
        <w:t xml:space="preserve">There are no sanctioning mechanisms in place for failure by media entities to provide annual reports as there are no monitoring mechanisms over them. They </w:t>
      </w:r>
      <w:r w:rsidR="000F01E0">
        <w:rPr>
          <w:rFonts w:ascii="Adobe Caslon Pro" w:eastAsia="Adobe Caslon Pro" w:hAnsi="Adobe Caslon Pro" w:cs="Adobe Caslon Pro"/>
        </w:rPr>
        <w:t xml:space="preserve">exercise </w:t>
      </w:r>
      <w:r w:rsidR="00C41BC7">
        <w:rPr>
          <w:rFonts w:ascii="Adobe Caslon Pro" w:eastAsia="Adobe Caslon Pro" w:hAnsi="Adobe Caslon Pro" w:cs="Adobe Caslon Pro"/>
        </w:rPr>
        <w:t>their financial obligations</w:t>
      </w:r>
      <w:r w:rsidR="000F01E0">
        <w:rPr>
          <w:rFonts w:ascii="Adobe Caslon Pro" w:eastAsia="Adobe Caslon Pro" w:hAnsi="Adobe Caslon Pro" w:cs="Adobe Caslon Pro"/>
        </w:rPr>
        <w:t xml:space="preserve"> of disclosure </w:t>
      </w:r>
      <w:r w:rsidR="00C41BC7">
        <w:rPr>
          <w:rFonts w:ascii="Adobe Caslon Pro" w:eastAsia="Adobe Caslon Pro" w:hAnsi="Adobe Caslon Pro" w:cs="Adobe Caslon Pro"/>
        </w:rPr>
        <w:t xml:space="preserve">in general order – as any commercial body in Armenia – without any specific media body to monitor their ownership reporting obligations.  </w:t>
      </w:r>
      <w:r w:rsidR="004F5AF9">
        <w:rPr>
          <w:rFonts w:ascii="Adobe Caslon Pro" w:eastAsia="Adobe Caslon Pro" w:hAnsi="Adobe Caslon Pro" w:cs="Adobe Caslon Pro"/>
        </w:rPr>
        <w:t xml:space="preserve"> </w:t>
      </w:r>
    </w:p>
    <w:p w14:paraId="50CAB4C5" w14:textId="1064D63E" w:rsidR="00436C76" w:rsidRDefault="00436C76" w:rsidP="00436C76">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The</w:t>
      </w:r>
      <w:r w:rsidR="00C41BC7">
        <w:rPr>
          <w:rFonts w:ascii="Adobe Caslon Pro" w:eastAsia="Adobe Caslon Pro" w:hAnsi="Adobe Caslon Pro" w:cs="Adobe Caslon Pro"/>
        </w:rPr>
        <w:t xml:space="preserve">re are self-regulatory frameworks in Armenia but they mostly concentrate on issues of journalistic ethics.  They do not specifically obligate their members to publish financial or ownership information. </w:t>
      </w:r>
      <w:r>
        <w:rPr>
          <w:rFonts w:ascii="Adobe Caslon Pro" w:eastAsia="Adobe Caslon Pro" w:hAnsi="Adobe Caslon Pro" w:cs="Adobe Caslon Pro"/>
        </w:rPr>
        <w:t xml:space="preserve"> </w:t>
      </w:r>
    </w:p>
    <w:p w14:paraId="02640F56" w14:textId="5B268026" w:rsidR="00D224E8" w:rsidRPr="00C41BC7" w:rsidRDefault="00C41BC7" w:rsidP="00C41BC7">
      <w:pPr>
        <w:spacing w:before="60" w:after="0" w:line="240" w:lineRule="auto"/>
        <w:ind w:left="360"/>
        <w:jc w:val="both"/>
        <w:rPr>
          <w:rFonts w:asciiTheme="minorHAnsi" w:eastAsia="Adobe Caslon Pro" w:hAnsiTheme="minorHAnsi" w:cs="Adobe Caslon Pro"/>
        </w:rPr>
      </w:pPr>
      <w:r>
        <w:rPr>
          <w:rFonts w:ascii="Adobe Caslon Pro" w:eastAsia="Adobe Caslon Pro" w:hAnsi="Adobe Caslon Pro" w:cs="Adobe Caslon Pro"/>
        </w:rPr>
        <w:lastRenderedPageBreak/>
        <w:t>Hence, apart from the broadcasting entities, print, electronic and social media are not monitored</w:t>
      </w:r>
      <w:r w:rsidR="0079046B">
        <w:rPr>
          <w:rFonts w:ascii="Adobe Caslon Pro" w:eastAsia="Adobe Caslon Pro" w:hAnsi="Adobe Caslon Pro" w:cs="Adobe Caslon Pro"/>
        </w:rPr>
        <w:t xml:space="preserve"> and obligated for disclosure of their ownership information</w:t>
      </w:r>
      <w:r w:rsidR="000F01E0">
        <w:rPr>
          <w:rFonts w:ascii="Adobe Caslon Pro" w:eastAsia="Adobe Caslon Pro" w:hAnsi="Adobe Caslon Pro" w:cs="Adobe Caslon Pro"/>
        </w:rPr>
        <w:t xml:space="preserve"> by a media body</w:t>
      </w:r>
      <w:r w:rsidR="0079046B">
        <w:rPr>
          <w:rFonts w:ascii="Adobe Caslon Pro" w:eastAsia="Adobe Caslon Pro" w:hAnsi="Adobe Caslon Pro" w:cs="Adobe Caslon Pro"/>
        </w:rPr>
        <w:t>.</w:t>
      </w:r>
    </w:p>
    <w:p w14:paraId="3DADFAE1" w14:textId="77777777" w:rsidR="00904FBA" w:rsidRDefault="00904FBA">
      <w:pPr>
        <w:spacing w:before="120" w:after="0" w:line="240" w:lineRule="auto"/>
        <w:ind w:left="360"/>
        <w:rPr>
          <w:rFonts w:ascii="Adobe Caslon Pro" w:eastAsia="Adobe Caslon Pro" w:hAnsi="Adobe Caslon Pro" w:cs="Adobe Caslon Pro"/>
        </w:rPr>
      </w:pPr>
    </w:p>
    <w:p w14:paraId="567E53B1"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t>I.4. Other state influence on media organizations</w:t>
      </w:r>
    </w:p>
    <w:p w14:paraId="524D492A" w14:textId="6F0F0FE9" w:rsidR="00DF38FC" w:rsidRDefault="003B5406" w:rsidP="00270B8A">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 xml:space="preserve">The State does not impose </w:t>
      </w:r>
      <w:r w:rsidR="00126021">
        <w:rPr>
          <w:rFonts w:ascii="Adobe Caslon Pro" w:eastAsia="Adobe Caslon Pro" w:hAnsi="Adobe Caslon Pro" w:cs="Adobe Caslon Pro"/>
        </w:rPr>
        <w:t>prohibitive taxes or levies on media organizations</w:t>
      </w:r>
      <w:r w:rsidR="00F257D7">
        <w:rPr>
          <w:rFonts w:ascii="Adobe Caslon Pro" w:eastAsia="Adobe Caslon Pro" w:hAnsi="Adobe Caslon Pro" w:cs="Adobe Caslon Pro"/>
        </w:rPr>
        <w:t xml:space="preserve">. In general, the </w:t>
      </w:r>
      <w:r w:rsidR="00126021">
        <w:rPr>
          <w:rFonts w:ascii="Adobe Caslon Pro" w:eastAsia="Adobe Caslon Pro" w:hAnsi="Adobe Caslon Pro" w:cs="Adobe Caslon Pro"/>
        </w:rPr>
        <w:t xml:space="preserve">tax policy and practice </w:t>
      </w:r>
      <w:r w:rsidR="00F257D7">
        <w:rPr>
          <w:rFonts w:ascii="Adobe Caslon Pro" w:eastAsia="Adobe Caslon Pro" w:hAnsi="Adobe Caslon Pro" w:cs="Adobe Caslon Pro"/>
        </w:rPr>
        <w:t xml:space="preserve">is non-discriminatory and no </w:t>
      </w:r>
      <w:r w:rsidR="00126021">
        <w:rPr>
          <w:rFonts w:ascii="Adobe Caslon Pro" w:eastAsia="Adobe Caslon Pro" w:hAnsi="Adobe Caslon Pro" w:cs="Adobe Caslon Pro"/>
        </w:rPr>
        <w:t xml:space="preserve">specific private media outlets </w:t>
      </w:r>
      <w:r w:rsidR="00F257D7">
        <w:rPr>
          <w:rFonts w:ascii="Adobe Caslon Pro" w:eastAsia="Adobe Caslon Pro" w:hAnsi="Adobe Caslon Pro" w:cs="Adobe Caslon Pro"/>
        </w:rPr>
        <w:t>benefit any unfair privilege. The public broadcasters enjoy certain privileges such as, for example, absence of time limitation</w:t>
      </w:r>
      <w:r w:rsidR="000F01E0">
        <w:rPr>
          <w:rFonts w:ascii="Adobe Caslon Pro" w:eastAsia="Adobe Caslon Pro" w:hAnsi="Adobe Caslon Pro" w:cs="Adobe Caslon Pro"/>
        </w:rPr>
        <w:t>s</w:t>
      </w:r>
      <w:r w:rsidR="00F257D7">
        <w:rPr>
          <w:rFonts w:ascii="Adobe Caslon Pro" w:eastAsia="Adobe Caslon Pro" w:hAnsi="Adobe Caslon Pro" w:cs="Adobe Caslon Pro"/>
        </w:rPr>
        <w:t xml:space="preserve"> over broadcasting content under the Law on Advertisement but they are envisaged under overriding public interest. </w:t>
      </w:r>
    </w:p>
    <w:p w14:paraId="694EAF02" w14:textId="6EDD8E9E" w:rsidR="00A57980" w:rsidRDefault="00F9226C" w:rsidP="00270B8A">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The media landscape is significantly diverse although it remains highly polarized</w:t>
      </w:r>
      <w:r w:rsidR="00D46E2A">
        <w:rPr>
          <w:rFonts w:ascii="Adobe Caslon Pro" w:eastAsia="Adobe Caslon Pro" w:hAnsi="Adobe Caslon Pro" w:cs="Adobe Caslon Pro"/>
        </w:rPr>
        <w:t>. The State’s influence in media independence is brought to the minimum, especially following the 2018 change of political power</w:t>
      </w:r>
      <w:r w:rsidR="00A57980">
        <w:rPr>
          <w:rFonts w:ascii="Adobe Caslon Pro" w:eastAsia="Adobe Caslon Pro" w:hAnsi="Adobe Caslon Pro" w:cs="Adobe Caslon Pro"/>
        </w:rPr>
        <w:t xml:space="preserve"> and introduction of the new audiovisual law in 2020</w:t>
      </w:r>
      <w:r w:rsidR="00D46E2A">
        <w:rPr>
          <w:rFonts w:ascii="Adobe Caslon Pro" w:eastAsia="Adobe Caslon Pro" w:hAnsi="Adobe Caslon Pro" w:cs="Adobe Caslon Pro"/>
        </w:rPr>
        <w:t xml:space="preserve">. Concerns </w:t>
      </w:r>
      <w:r w:rsidR="00A57980">
        <w:rPr>
          <w:rFonts w:ascii="Adobe Caslon Pro" w:eastAsia="Adobe Caslon Pro" w:hAnsi="Adobe Caslon Pro" w:cs="Adobe Caslon Pro"/>
        </w:rPr>
        <w:t xml:space="preserve">mostly </w:t>
      </w:r>
      <w:r w:rsidR="00D46E2A">
        <w:rPr>
          <w:rFonts w:ascii="Adobe Caslon Pro" w:eastAsia="Adobe Caslon Pro" w:hAnsi="Adobe Caslon Pro" w:cs="Adobe Caslon Pro"/>
        </w:rPr>
        <w:t xml:space="preserve">relate to political influence in print and broadcasting media. </w:t>
      </w:r>
      <w:r w:rsidR="00D46E2A" w:rsidRPr="00D46E2A">
        <w:rPr>
          <w:rFonts w:ascii="Adobe Caslon Pro" w:eastAsia="Adobe Caslon Pro" w:hAnsi="Adobe Caslon Pro" w:cs="Adobe Caslon Pro"/>
        </w:rPr>
        <w:t>Most media outlets</w:t>
      </w:r>
      <w:r w:rsidR="00D46E2A">
        <w:rPr>
          <w:rFonts w:ascii="Adobe Caslon Pro" w:eastAsia="Adobe Caslon Pro" w:hAnsi="Adobe Caslon Pro" w:cs="Adobe Caslon Pro"/>
        </w:rPr>
        <w:t xml:space="preserve">, especially television and online media, </w:t>
      </w:r>
      <w:r w:rsidR="00D46E2A" w:rsidRPr="00D46E2A">
        <w:rPr>
          <w:rFonts w:ascii="Adobe Caslon Pro" w:eastAsia="Adobe Caslon Pro" w:hAnsi="Adobe Caslon Pro" w:cs="Adobe Caslon Pro"/>
        </w:rPr>
        <w:t>are affiliated with and directly controlled by larger political or business interests</w:t>
      </w:r>
      <w:r w:rsidR="00D46E2A">
        <w:rPr>
          <w:rFonts w:ascii="Adobe Caslon Pro" w:eastAsia="Adobe Caslon Pro" w:hAnsi="Adobe Caslon Pro" w:cs="Adobe Caslon Pro"/>
        </w:rPr>
        <w:t xml:space="preserve">. The media is mostly sponsored and supported from </w:t>
      </w:r>
      <w:r w:rsidR="00D46E2A" w:rsidRPr="00D46E2A">
        <w:rPr>
          <w:rFonts w:ascii="Adobe Caslon Pro" w:eastAsia="Adobe Caslon Pro" w:hAnsi="Adobe Caslon Pro" w:cs="Adobe Caslon Pro"/>
        </w:rPr>
        <w:t xml:space="preserve">politicians and other influential public figures. </w:t>
      </w:r>
      <w:r w:rsidR="00A57980" w:rsidRPr="00D46E2A">
        <w:rPr>
          <w:rFonts w:ascii="Adobe Caslon Pro" w:eastAsia="Adobe Caslon Pro" w:hAnsi="Adobe Caslon Pro" w:cs="Adobe Caslon Pro"/>
        </w:rPr>
        <w:t xml:space="preserve">The same applies to public media, which, in many cases, </w:t>
      </w:r>
      <w:r w:rsidR="00A57980">
        <w:rPr>
          <w:rFonts w:ascii="Adobe Caslon Pro" w:eastAsia="Adobe Caslon Pro" w:hAnsi="Adobe Caslon Pro" w:cs="Adobe Caslon Pro"/>
        </w:rPr>
        <w:t xml:space="preserve">avoids directly criticizing the government. There are wide allegations that owners of many media outlets and their real beneficiaries are not listed in the registers but are from political circles.  </w:t>
      </w:r>
    </w:p>
    <w:p w14:paraId="5B13A362" w14:textId="32B47D55" w:rsidR="00DF38FC" w:rsidRDefault="00D46E2A" w:rsidP="00270B8A">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 xml:space="preserve">However, there exist strong counter-balancing factors such as transparency and overall fairness of broadcasting licensing competitions, strong remedial mechanisms against violations, existence of strong civil society oversight mechanisms. </w:t>
      </w:r>
      <w:r w:rsidR="00DF38FC">
        <w:rPr>
          <w:rFonts w:ascii="Adobe Caslon Pro" w:eastAsia="Adobe Caslon Pro" w:hAnsi="Adobe Caslon Pro" w:cs="Adobe Caslon Pro"/>
        </w:rPr>
        <w:t>The State’s influence in competitions, including for network operators, is</w:t>
      </w:r>
      <w:r w:rsidR="00EF71D3">
        <w:rPr>
          <w:rFonts w:ascii="Adobe Caslon Pro" w:eastAsia="Adobe Caslon Pro" w:hAnsi="Adobe Caslon Pro" w:cs="Adobe Caslon Pro"/>
        </w:rPr>
        <w:t xml:space="preserve"> minimal.</w:t>
      </w:r>
      <w:r w:rsidR="00DF38FC">
        <w:rPr>
          <w:rFonts w:ascii="Adobe Caslon Pro" w:eastAsia="Adobe Caslon Pro" w:hAnsi="Adobe Caslon Pro" w:cs="Adobe Caslon Pro"/>
        </w:rPr>
        <w:t xml:space="preserve"> </w:t>
      </w:r>
      <w:r w:rsidR="00EF71D3">
        <w:rPr>
          <w:rFonts w:ascii="Adobe Caslon Pro" w:eastAsia="Adobe Caslon Pro" w:hAnsi="Adobe Caslon Pro" w:cs="Adobe Caslon Pro"/>
        </w:rPr>
        <w:t xml:space="preserve">The media polarization does not influence the process of spectrum allocation. </w:t>
      </w:r>
      <w:r w:rsidR="00DF38FC">
        <w:rPr>
          <w:rFonts w:ascii="Adobe Caslon Pro" w:eastAsia="Adobe Caslon Pro" w:hAnsi="Adobe Caslon Pro" w:cs="Adobe Caslon Pro"/>
        </w:rPr>
        <w:t xml:space="preserve">In general, the procedures of competition provide fair and equal opportunities for </w:t>
      </w:r>
      <w:r w:rsidR="00F9226C">
        <w:rPr>
          <w:rFonts w:ascii="Adobe Caslon Pro" w:eastAsia="Adobe Caslon Pro" w:hAnsi="Adobe Caslon Pro" w:cs="Adobe Caslon Pro"/>
        </w:rPr>
        <w:t>existing license holder</w:t>
      </w:r>
      <w:r w:rsidR="00EF71D3">
        <w:rPr>
          <w:rFonts w:ascii="Adobe Caslon Pro" w:eastAsia="Adobe Caslon Pro" w:hAnsi="Adobe Caslon Pro" w:cs="Adobe Caslon Pro"/>
        </w:rPr>
        <w:t>s</w:t>
      </w:r>
      <w:r w:rsidR="00F9226C">
        <w:rPr>
          <w:rFonts w:ascii="Adobe Caslon Pro" w:eastAsia="Adobe Caslon Pro" w:hAnsi="Adobe Caslon Pro" w:cs="Adobe Caslon Pro"/>
        </w:rPr>
        <w:t xml:space="preserve"> and for new entrants to the media market. There are no start-up fees or other restrictions imposed under law for new entrants</w:t>
      </w:r>
      <w:r w:rsidR="00EF71D3">
        <w:rPr>
          <w:rFonts w:ascii="Adobe Caslon Pro" w:eastAsia="Adobe Caslon Pro" w:hAnsi="Adobe Caslon Pro" w:cs="Adobe Caslon Pro"/>
        </w:rPr>
        <w:t xml:space="preserve"> and the practice show that with every new stage of competitions new stakeholders appear in the media market. </w:t>
      </w:r>
      <w:r w:rsidR="0081524A">
        <w:rPr>
          <w:rFonts w:ascii="Adobe Caslon Pro" w:eastAsia="Adobe Caslon Pro" w:hAnsi="Adobe Caslon Pro" w:cs="Adobe Caslon Pro"/>
        </w:rPr>
        <w:t>The</w:t>
      </w:r>
      <w:r w:rsidR="003D75C2">
        <w:rPr>
          <w:rFonts w:ascii="Adobe Caslon Pro" w:eastAsia="Adobe Caslon Pro" w:hAnsi="Adobe Caslon Pro" w:cs="Adobe Caslon Pro"/>
        </w:rPr>
        <w:t xml:space="preserve"> competition</w:t>
      </w:r>
      <w:r w:rsidR="00CD1A6E">
        <w:rPr>
          <w:rFonts w:ascii="Adobe Caslon Pro" w:eastAsia="Adobe Caslon Pro" w:hAnsi="Adobe Caslon Pro" w:cs="Adobe Caslon Pro"/>
        </w:rPr>
        <w:t>s</w:t>
      </w:r>
      <w:r w:rsidR="003D75C2">
        <w:rPr>
          <w:rFonts w:ascii="Adobe Caslon Pro" w:eastAsia="Adobe Caslon Pro" w:hAnsi="Adobe Caslon Pro" w:cs="Adobe Caslon Pro"/>
        </w:rPr>
        <w:t xml:space="preserve"> </w:t>
      </w:r>
      <w:r w:rsidR="0081524A">
        <w:rPr>
          <w:rFonts w:ascii="Adobe Caslon Pro" w:eastAsia="Adobe Caslon Pro" w:hAnsi="Adobe Caslon Pro" w:cs="Adobe Caslon Pro"/>
        </w:rPr>
        <w:t>by the national regulator is relatively transparent, highly competitive</w:t>
      </w:r>
      <w:r w:rsidR="003D75C2">
        <w:rPr>
          <w:rFonts w:ascii="Adobe Caslon Pro" w:eastAsia="Adobe Caslon Pro" w:hAnsi="Adobe Caslon Pro" w:cs="Adobe Caslon Pro"/>
        </w:rPr>
        <w:t>,</w:t>
      </w:r>
      <w:r w:rsidR="0081524A">
        <w:rPr>
          <w:rFonts w:ascii="Adobe Caslon Pro" w:eastAsia="Adobe Caslon Pro" w:hAnsi="Adobe Caslon Pro" w:cs="Adobe Caslon Pro"/>
        </w:rPr>
        <w:t xml:space="preserve"> and the decision-making is based on objective criteria envisaged in the law. </w:t>
      </w:r>
      <w:r w:rsidR="00CD1A6E">
        <w:rPr>
          <w:rFonts w:ascii="Adobe Caslon Pro" w:eastAsia="Adobe Caslon Pro" w:hAnsi="Adobe Caslon Pro" w:cs="Adobe Caslon Pro"/>
        </w:rPr>
        <w:t xml:space="preserve">There have been several reported cases where courts overturned the decisions of the regulator of granting a license on the ground that the competition was unfair. </w:t>
      </w:r>
    </w:p>
    <w:p w14:paraId="1EF9A11C" w14:textId="2445EF2F" w:rsidR="00CD1A6E" w:rsidRDefault="00CD1A6E" w:rsidP="00270B8A">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 xml:space="preserve">As regards the electronic/online media, there are no clear and coherent rules of regulating this area which gives considerable freedom to media outlets in this sphere while, at the same time, </w:t>
      </w:r>
      <w:r w:rsidR="000F01E0">
        <w:rPr>
          <w:rFonts w:ascii="Adobe Caslon Pro" w:eastAsia="Adobe Caslon Pro" w:hAnsi="Adobe Caslon Pro" w:cs="Adobe Caslon Pro"/>
        </w:rPr>
        <w:t xml:space="preserve">widening opportunities for unfettered </w:t>
      </w:r>
      <w:r>
        <w:rPr>
          <w:rFonts w:ascii="Adobe Caslon Pro" w:eastAsia="Adobe Caslon Pro" w:hAnsi="Adobe Caslon Pro" w:cs="Adobe Caslon Pro"/>
        </w:rPr>
        <w:t xml:space="preserve">violations of ethics and civil rights. The government does not impose rules on blocking, filtration and removal of content. </w:t>
      </w:r>
      <w:r w:rsidR="000F01E0">
        <w:rPr>
          <w:rFonts w:ascii="Adobe Caslon Pro" w:eastAsia="Adobe Caslon Pro" w:hAnsi="Adobe Caslon Pro" w:cs="Adobe Caslon Pro"/>
        </w:rPr>
        <w:t xml:space="preserve">Such measures work only through judicial procedural rules. </w:t>
      </w:r>
      <w:r>
        <w:rPr>
          <w:rFonts w:ascii="Adobe Caslon Pro" w:eastAsia="Adobe Caslon Pro" w:hAnsi="Adobe Caslon Pro" w:cs="Adobe Caslon Pro"/>
        </w:rPr>
        <w:t xml:space="preserve">Civil courts, in ruling </w:t>
      </w:r>
      <w:r w:rsidR="000F01E0">
        <w:rPr>
          <w:rFonts w:ascii="Adobe Caslon Pro" w:eastAsia="Adobe Caslon Pro" w:hAnsi="Adobe Caslon Pro" w:cs="Adobe Caslon Pro"/>
        </w:rPr>
        <w:t>over</w:t>
      </w:r>
      <w:r>
        <w:rPr>
          <w:rFonts w:ascii="Adobe Caslon Pro" w:eastAsia="Adobe Caslon Pro" w:hAnsi="Adobe Caslon Pro" w:cs="Adobe Caslon Pro"/>
        </w:rPr>
        <w:t xml:space="preserve"> defamation cases, often decide on blocking or remov</w:t>
      </w:r>
      <w:r w:rsidR="000F01E0">
        <w:rPr>
          <w:rFonts w:ascii="Adobe Caslon Pro" w:eastAsia="Adobe Caslon Pro" w:hAnsi="Adobe Caslon Pro" w:cs="Adobe Caslon Pro"/>
        </w:rPr>
        <w:t>ing of</w:t>
      </w:r>
      <w:r>
        <w:rPr>
          <w:rFonts w:ascii="Adobe Caslon Pro" w:eastAsia="Adobe Caslon Pro" w:hAnsi="Adobe Caslon Pro" w:cs="Adobe Caslon Pro"/>
        </w:rPr>
        <w:t xml:space="preserve"> content as a measure of legal remedy</w:t>
      </w:r>
      <w:r w:rsidR="00A57980">
        <w:rPr>
          <w:rFonts w:ascii="Adobe Caslon Pro" w:eastAsia="Adobe Caslon Pro" w:hAnsi="Adobe Caslon Pro" w:cs="Adobe Caslon Pro"/>
        </w:rPr>
        <w:t xml:space="preserve"> prescribed </w:t>
      </w:r>
      <w:r w:rsidR="000F01E0">
        <w:rPr>
          <w:rFonts w:ascii="Adobe Caslon Pro" w:eastAsia="Adobe Caslon Pro" w:hAnsi="Adobe Caslon Pro" w:cs="Adobe Caslon Pro"/>
        </w:rPr>
        <w:t>in the</w:t>
      </w:r>
      <w:r w:rsidR="00A57980">
        <w:rPr>
          <w:rFonts w:ascii="Adobe Caslon Pro" w:eastAsia="Adobe Caslon Pro" w:hAnsi="Adobe Caslon Pro" w:cs="Adobe Caslon Pro"/>
        </w:rPr>
        <w:t xml:space="preserve"> law</w:t>
      </w:r>
      <w:r>
        <w:rPr>
          <w:rFonts w:ascii="Adobe Caslon Pro" w:eastAsia="Adobe Caslon Pro" w:hAnsi="Adobe Caslon Pro" w:cs="Adobe Caslon Pro"/>
        </w:rPr>
        <w:t>.</w:t>
      </w:r>
      <w:r w:rsidR="000F01E0">
        <w:rPr>
          <w:rFonts w:ascii="Adobe Caslon Pro" w:eastAsia="Adobe Caslon Pro" w:hAnsi="Adobe Caslon Pro" w:cs="Adobe Caslon Pro"/>
        </w:rPr>
        <w:t xml:space="preserve"> The criminal courts may also decide on blocking of a certain content as a restraint order that may later turn into a measure of execution of a conviction.</w:t>
      </w:r>
      <w:r>
        <w:rPr>
          <w:rFonts w:ascii="Adobe Caslon Pro" w:eastAsia="Adobe Caslon Pro" w:hAnsi="Adobe Caslon Pro" w:cs="Adobe Caslon Pro"/>
        </w:rPr>
        <w:t xml:space="preserve">  </w:t>
      </w:r>
    </w:p>
    <w:p w14:paraId="16003D9E" w14:textId="77777777" w:rsidR="00BC2257" w:rsidRDefault="00A57980" w:rsidP="00BC2257">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This concept of state advertisement</w:t>
      </w:r>
      <w:r w:rsidR="00BC2257">
        <w:rPr>
          <w:rFonts w:ascii="Adobe Caslon Pro" w:eastAsia="Adobe Caslon Pro" w:hAnsi="Adobe Caslon Pro" w:cs="Adobe Caslon Pro"/>
        </w:rPr>
        <w:t xml:space="preserve"> </w:t>
      </w:r>
      <w:r>
        <w:rPr>
          <w:rFonts w:ascii="Adobe Caslon Pro" w:eastAsia="Adobe Caslon Pro" w:hAnsi="Adobe Caslon Pro" w:cs="Adobe Caslon Pro"/>
        </w:rPr>
        <w:t xml:space="preserve">is not addressed in the media legislation. It provides no definition and no monitoring mechanism of advertising allocation. </w:t>
      </w:r>
      <w:r w:rsidR="00BC2257">
        <w:rPr>
          <w:rFonts w:ascii="Adobe Caslon Pro" w:eastAsia="Adobe Caslon Pro" w:hAnsi="Adobe Caslon Pro" w:cs="Adobe Caslon Pro"/>
        </w:rPr>
        <w:t xml:space="preserve">There are no legal grounds and a mechanism for monitoring and identifying </w:t>
      </w:r>
      <w:r w:rsidR="00BC2257" w:rsidRPr="00BC2257">
        <w:rPr>
          <w:rFonts w:ascii="Adobe Caslon Pro" w:eastAsia="Adobe Caslon Pro" w:hAnsi="Adobe Caslon Pro" w:cs="Adobe Caslon Pro"/>
        </w:rPr>
        <w:t xml:space="preserve">non-transparent allocation of public funds </w:t>
      </w:r>
      <w:r w:rsidR="00BC2257">
        <w:rPr>
          <w:rFonts w:ascii="Adobe Caslon Pro" w:eastAsia="Adobe Caslon Pro" w:hAnsi="Adobe Caslon Pro" w:cs="Adobe Caslon Pro"/>
        </w:rPr>
        <w:t xml:space="preserve">such as favoring or subsidizing certain media institutions that publish </w:t>
      </w:r>
      <w:r w:rsidR="00BC2257">
        <w:rPr>
          <w:rFonts w:ascii="Adobe Caslon Pro" w:eastAsia="Adobe Caslon Pro" w:hAnsi="Adobe Caslon Pro" w:cs="Adobe Caslon Pro"/>
        </w:rPr>
        <w:lastRenderedPageBreak/>
        <w:t>content favorable to the government. The media legislation does not envisage a creation of a media subsidization fund.</w:t>
      </w:r>
    </w:p>
    <w:p w14:paraId="5739A161" w14:textId="77777777" w:rsidR="00BC2257" w:rsidRDefault="00BC2257" w:rsidP="00BC2257">
      <w:pPr>
        <w:spacing w:before="60" w:after="0" w:line="240" w:lineRule="auto"/>
        <w:ind w:left="360"/>
        <w:jc w:val="both"/>
        <w:rPr>
          <w:rFonts w:ascii="Adobe Caslon Pro" w:eastAsia="Adobe Caslon Pro" w:hAnsi="Adobe Caslon Pro" w:cs="Adobe Caslon Pro"/>
        </w:rPr>
      </w:pPr>
    </w:p>
    <w:p w14:paraId="4459E93D"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t>I.5 Network Neutrality and Media Diversity</w:t>
      </w:r>
    </w:p>
    <w:p w14:paraId="48559C7B" w14:textId="05B85779" w:rsidR="00904FBA" w:rsidRDefault="00126021">
      <w:pPr>
        <w:spacing w:before="120" w:after="0" w:line="240" w:lineRule="auto"/>
        <w:rPr>
          <w:rFonts w:ascii="Adobe Caslon Pro" w:eastAsia="Adobe Caslon Pro" w:hAnsi="Adobe Caslon Pro" w:cs="Adobe Caslon Pro"/>
        </w:rPr>
      </w:pPr>
      <w:r>
        <w:rPr>
          <w:rFonts w:ascii="Adobe Caslon Pro" w:eastAsia="Adobe Caslon Pro" w:hAnsi="Adobe Caslon Pro" w:cs="Adobe Caslon Pro"/>
        </w:rPr>
        <w:t>Legal framework</w:t>
      </w:r>
    </w:p>
    <w:p w14:paraId="0E1BCF06" w14:textId="6C883DAB" w:rsidR="00722B69" w:rsidRPr="00722B69" w:rsidRDefault="00254BBB" w:rsidP="00165CD4">
      <w:pPr>
        <w:spacing w:before="120" w:after="0" w:line="240" w:lineRule="auto"/>
        <w:ind w:left="360"/>
        <w:jc w:val="both"/>
        <w:rPr>
          <w:rFonts w:asciiTheme="minorHAnsi" w:eastAsia="Adobe Caslon Pro" w:hAnsiTheme="minorHAnsi" w:cs="Adobe Caslon Pro"/>
          <w:lang w:val="hy-AM"/>
        </w:rPr>
      </w:pPr>
      <w:r w:rsidRPr="00254BBB">
        <w:rPr>
          <w:rFonts w:ascii="Adobe Caslon Pro" w:eastAsia="Adobe Caslon Pro" w:hAnsi="Adobe Caslon Pro" w:cs="Adobe Caslon Pro"/>
        </w:rPr>
        <w:t xml:space="preserve">The current legal framework in </w:t>
      </w:r>
      <w:r w:rsidR="00722B69">
        <w:rPr>
          <w:rFonts w:ascii="Adobe Caslon Pro" w:eastAsia="Adobe Caslon Pro" w:hAnsi="Adobe Caslon Pro" w:cs="Adobe Caslon Pro"/>
        </w:rPr>
        <w:t>Armenia</w:t>
      </w:r>
      <w:r w:rsidRPr="00254BBB">
        <w:rPr>
          <w:rFonts w:ascii="Adobe Caslon Pro" w:eastAsia="Adobe Caslon Pro" w:hAnsi="Adobe Caslon Pro" w:cs="Adobe Caslon Pro"/>
        </w:rPr>
        <w:t xml:space="preserve"> does not contain an express definition of the principle of net neutrality. </w:t>
      </w:r>
      <w:r w:rsidR="00722B69">
        <w:rPr>
          <w:rFonts w:ascii="Adobe Caslon Pro" w:eastAsia="Adobe Caslon Pro" w:hAnsi="Adobe Caslon Pro" w:cs="Adobe Caslon Pro"/>
        </w:rPr>
        <w:t>However, the governing legislation, which is the Law on Electronic Communication, provides some minimum standards that reflect</w:t>
      </w:r>
      <w:r w:rsidR="00A160AC">
        <w:rPr>
          <w:rFonts w:ascii="Adobe Caslon Pro" w:eastAsia="Adobe Caslon Pro" w:hAnsi="Adobe Caslon Pro" w:cs="Adobe Caslon Pro"/>
        </w:rPr>
        <w:t xml:space="preserve"> certain</w:t>
      </w:r>
      <w:r w:rsidR="00722B69">
        <w:rPr>
          <w:rFonts w:ascii="Adobe Caslon Pro" w:eastAsia="Adobe Caslon Pro" w:hAnsi="Adobe Caslon Pro" w:cs="Adobe Caslon Pro"/>
        </w:rPr>
        <w:t xml:space="preserve">  aspects of the </w:t>
      </w:r>
      <w:r w:rsidR="00A160AC">
        <w:rPr>
          <w:rFonts w:ascii="Adobe Caslon Pro" w:eastAsia="Adobe Caslon Pro" w:hAnsi="Adobe Caslon Pro" w:cs="Adobe Caslon Pro"/>
        </w:rPr>
        <w:t xml:space="preserve">general </w:t>
      </w:r>
      <w:r w:rsidR="00722B69">
        <w:rPr>
          <w:rFonts w:ascii="Adobe Caslon Pro" w:eastAsia="Adobe Caslon Pro" w:hAnsi="Adobe Caslon Pro" w:cs="Adobe Caslon Pro"/>
        </w:rPr>
        <w:t xml:space="preserve">concept of net neutrality. </w:t>
      </w:r>
    </w:p>
    <w:p w14:paraId="02D75DCF" w14:textId="5E144D44" w:rsidR="00776F15" w:rsidRDefault="00254BBB" w:rsidP="00165CD4">
      <w:pPr>
        <w:spacing w:before="120" w:after="0" w:line="240" w:lineRule="auto"/>
        <w:ind w:left="360"/>
        <w:jc w:val="both"/>
        <w:rPr>
          <w:rFonts w:ascii="Adobe Caslon Pro" w:eastAsia="Adobe Caslon Pro" w:hAnsi="Adobe Caslon Pro" w:cs="Adobe Caslon Pro"/>
        </w:rPr>
      </w:pPr>
      <w:r w:rsidRPr="00254BBB">
        <w:rPr>
          <w:rFonts w:ascii="Adobe Caslon Pro" w:eastAsia="Adobe Caslon Pro" w:hAnsi="Adobe Caslon Pro" w:cs="Adobe Caslon Pro"/>
        </w:rPr>
        <w:t xml:space="preserve">The </w:t>
      </w:r>
      <w:r w:rsidR="00A160AC">
        <w:rPr>
          <w:rFonts w:ascii="Adobe Caslon Pro" w:eastAsia="Adobe Caslon Pro" w:hAnsi="Adobe Caslon Pro" w:cs="Adobe Caslon Pro"/>
        </w:rPr>
        <w:t xml:space="preserve">Law on Electronic Communication </w:t>
      </w:r>
      <w:r w:rsidRPr="00254BBB">
        <w:rPr>
          <w:rFonts w:ascii="Adobe Caslon Pro" w:eastAsia="Adobe Caslon Pro" w:hAnsi="Adobe Caslon Pro" w:cs="Adobe Caslon Pro"/>
        </w:rPr>
        <w:t xml:space="preserve">establishes </w:t>
      </w:r>
      <w:r w:rsidR="00A81C93">
        <w:rPr>
          <w:rFonts w:ascii="Adobe Caslon Pro" w:eastAsia="Adobe Caslon Pro" w:hAnsi="Adobe Caslon Pro" w:cs="Adobe Caslon Pro"/>
        </w:rPr>
        <w:t>an</w:t>
      </w:r>
      <w:r w:rsidRPr="00254BBB">
        <w:rPr>
          <w:rFonts w:ascii="Adobe Caslon Pro" w:eastAsia="Adobe Caslon Pro" w:hAnsi="Adobe Caslon Pro" w:cs="Adobe Caslon Pro"/>
        </w:rPr>
        <w:t xml:space="preserve"> obligation for </w:t>
      </w:r>
      <w:r w:rsidR="00A160AC">
        <w:rPr>
          <w:rFonts w:ascii="Adobe Caslon Pro" w:eastAsia="Adobe Caslon Pro" w:hAnsi="Adobe Caslon Pro" w:cs="Adobe Caslon Pro"/>
        </w:rPr>
        <w:t xml:space="preserve">broadband network operators and </w:t>
      </w:r>
      <w:r w:rsidRPr="00254BBB">
        <w:rPr>
          <w:rFonts w:ascii="Adobe Caslon Pro" w:eastAsia="Adobe Caslon Pro" w:hAnsi="Adobe Caslon Pro" w:cs="Adobe Caslon Pro"/>
        </w:rPr>
        <w:t xml:space="preserve">internet service providers (ISPs) to </w:t>
      </w:r>
      <w:r w:rsidR="00A160AC">
        <w:rPr>
          <w:rFonts w:ascii="Times New Roman" w:eastAsia="Adobe Caslon Pro" w:hAnsi="Times New Roman" w:cs="Times New Roman"/>
        </w:rPr>
        <w:t xml:space="preserve">provide </w:t>
      </w:r>
      <w:r w:rsidR="005345B5">
        <w:rPr>
          <w:rFonts w:ascii="Times New Roman" w:eastAsia="Adobe Caslon Pro" w:hAnsi="Times New Roman" w:cs="Times New Roman"/>
        </w:rPr>
        <w:t xml:space="preserve">communication </w:t>
      </w:r>
      <w:r w:rsidR="00A160AC">
        <w:rPr>
          <w:rFonts w:ascii="Times New Roman" w:eastAsia="Adobe Caslon Pro" w:hAnsi="Times New Roman" w:cs="Times New Roman"/>
        </w:rPr>
        <w:t>services based on equal treatment and non-discrimination.</w:t>
      </w:r>
      <w:r w:rsidR="005344E5">
        <w:rPr>
          <w:rFonts w:ascii="Times New Roman" w:eastAsia="Adobe Caslon Pro" w:hAnsi="Times New Roman" w:cs="Times New Roman"/>
        </w:rPr>
        <w:t xml:space="preserve"> The law provides </w:t>
      </w:r>
      <w:r w:rsidR="00A160AC">
        <w:rPr>
          <w:rFonts w:ascii="Adobe Caslon Pro" w:eastAsia="Adobe Caslon Pro" w:hAnsi="Adobe Caslon Pro" w:cs="Adobe Caslon Pro"/>
        </w:rPr>
        <w:t xml:space="preserve">anti-monopoly and fair competition rules. </w:t>
      </w:r>
      <w:r w:rsidR="005345B5" w:rsidRPr="005345B5">
        <w:rPr>
          <w:rFonts w:ascii="Adobe Caslon Pro" w:eastAsia="Adobe Caslon Pro" w:hAnsi="Adobe Caslon Pro" w:cs="Adobe Caslon Pro"/>
        </w:rPr>
        <w:t xml:space="preserve">The </w:t>
      </w:r>
      <w:r w:rsidR="005345B5">
        <w:rPr>
          <w:rFonts w:ascii="Adobe Caslon Pro" w:eastAsia="Adobe Caslon Pro" w:hAnsi="Adobe Caslon Pro" w:cs="Adobe Caslon Pro"/>
        </w:rPr>
        <w:t xml:space="preserve">law applies to all </w:t>
      </w:r>
      <w:r w:rsidR="005345B5" w:rsidRPr="005345B5">
        <w:rPr>
          <w:rFonts w:ascii="Adobe Caslon Pro" w:eastAsia="Adobe Caslon Pro" w:hAnsi="Adobe Caslon Pro" w:cs="Adobe Caslon Pro"/>
        </w:rPr>
        <w:t>providers of public electronic communications networks and services, covering both broadband and mobile services. </w:t>
      </w:r>
      <w:r w:rsidR="00A160AC">
        <w:rPr>
          <w:rFonts w:ascii="Adobe Caslon Pro" w:eastAsia="Adobe Caslon Pro" w:hAnsi="Adobe Caslon Pro" w:cs="Adobe Caslon Pro"/>
        </w:rPr>
        <w:t>It sets a national regula</w:t>
      </w:r>
      <w:r w:rsidR="005344E5">
        <w:rPr>
          <w:rFonts w:ascii="Adobe Caslon Pro" w:eastAsia="Adobe Caslon Pro" w:hAnsi="Adobe Caslon Pro" w:cs="Adobe Caslon Pro"/>
        </w:rPr>
        <w:t xml:space="preserve">tor </w:t>
      </w:r>
      <w:r w:rsidR="00A160AC">
        <w:rPr>
          <w:rFonts w:ascii="Adobe Caslon Pro" w:eastAsia="Adobe Caslon Pro" w:hAnsi="Adobe Caslon Pro" w:cs="Adobe Caslon Pro"/>
        </w:rPr>
        <w:t xml:space="preserve">in this area which is the Public Services Regulatory Commission. The regulator is </w:t>
      </w:r>
      <w:r w:rsidR="005344E5">
        <w:rPr>
          <w:rFonts w:ascii="Adobe Caslon Pro" w:eastAsia="Adobe Caslon Pro" w:hAnsi="Adobe Caslon Pro" w:cs="Adobe Caslon Pro"/>
        </w:rPr>
        <w:t>a state licensing body, it issues license to network operators and ISPs, monitor’s their activities and sanctions them for violations of legislation, including the conditions of license. The regulator is a standard-setting, policy developing and policy implementing body. It may effectively interfere with net neutrality by changing standards, influencing on net service providers (operators and ISPs), chang</w:t>
      </w:r>
      <w:r w:rsidR="005345B5">
        <w:rPr>
          <w:rFonts w:ascii="Adobe Caslon Pro" w:eastAsia="Adobe Caslon Pro" w:hAnsi="Adobe Caslon Pro" w:cs="Adobe Caslon Pro"/>
        </w:rPr>
        <w:t xml:space="preserve">ing </w:t>
      </w:r>
      <w:r w:rsidR="005344E5">
        <w:rPr>
          <w:rFonts w:ascii="Adobe Caslon Pro" w:eastAsia="Adobe Caslon Pro" w:hAnsi="Adobe Caslon Pro" w:cs="Adobe Caslon Pro"/>
        </w:rPr>
        <w:t xml:space="preserve">the standards during emergency and war situations (which happened in 2020 Covid-19 pandemic and </w:t>
      </w:r>
      <w:r w:rsidR="00776F15">
        <w:rPr>
          <w:rFonts w:ascii="Adobe Caslon Pro" w:eastAsia="Adobe Caslon Pro" w:hAnsi="Adobe Caslon Pro" w:cs="Adobe Caslon Pro"/>
        </w:rPr>
        <w:t>war events o</w:t>
      </w:r>
      <w:r w:rsidR="005344E5">
        <w:rPr>
          <w:rFonts w:ascii="Adobe Caslon Pro" w:eastAsia="Adobe Caslon Pro" w:hAnsi="Adobe Caslon Pro" w:cs="Adobe Caslon Pro"/>
        </w:rPr>
        <w:t xml:space="preserve">f the same year). It may effectively cooperate with law enforcement and intelligence bodies by mandating network operators to </w:t>
      </w:r>
      <w:r w:rsidR="00776F15">
        <w:rPr>
          <w:rFonts w:ascii="Adobe Caslon Pro" w:eastAsia="Adobe Caslon Pro" w:hAnsi="Adobe Caslon Pro" w:cs="Adobe Caslon Pro"/>
        </w:rPr>
        <w:t xml:space="preserve">provide them access to net infrastructures, </w:t>
      </w:r>
      <w:r w:rsidR="005345B5">
        <w:rPr>
          <w:rFonts w:ascii="Adobe Caslon Pro" w:eastAsia="Adobe Caslon Pro" w:hAnsi="Adobe Caslon Pro" w:cs="Adobe Caslon Pro"/>
        </w:rPr>
        <w:t>including</w:t>
      </w:r>
      <w:r w:rsidR="005344E5">
        <w:rPr>
          <w:rFonts w:ascii="Adobe Caslon Pro" w:eastAsia="Adobe Caslon Pro" w:hAnsi="Adobe Caslon Pro" w:cs="Adobe Caslon Pro"/>
        </w:rPr>
        <w:t xml:space="preserve"> other functions that are vaguely and broadly defined in the law. The regulator</w:t>
      </w:r>
      <w:r w:rsidR="00776F15">
        <w:rPr>
          <w:rFonts w:ascii="Adobe Caslon Pro" w:eastAsia="Adobe Caslon Pro" w:hAnsi="Adobe Caslon Pro" w:cs="Adobe Caslon Pro"/>
        </w:rPr>
        <w:t xml:space="preserve"> </w:t>
      </w:r>
      <w:r w:rsidR="005344E5">
        <w:rPr>
          <w:rFonts w:ascii="Adobe Caslon Pro" w:eastAsia="Adobe Caslon Pro" w:hAnsi="Adobe Caslon Pro" w:cs="Adobe Caslon Pro"/>
        </w:rPr>
        <w:t xml:space="preserve">may also impose </w:t>
      </w:r>
      <w:r w:rsidR="00776F15">
        <w:rPr>
          <w:rFonts w:ascii="Adobe Caslon Pro" w:eastAsia="Adobe Caslon Pro" w:hAnsi="Adobe Caslon Pro" w:cs="Adobe Caslon Pro"/>
        </w:rPr>
        <w:t xml:space="preserve">administrative </w:t>
      </w:r>
      <w:r w:rsidR="005344E5">
        <w:rPr>
          <w:rFonts w:ascii="Adobe Caslon Pro" w:eastAsia="Adobe Caslon Pro" w:hAnsi="Adobe Caslon Pro" w:cs="Adobe Caslon Pro"/>
        </w:rPr>
        <w:t xml:space="preserve">sanctions for violation of </w:t>
      </w:r>
      <w:r w:rsidR="00776F15">
        <w:rPr>
          <w:rFonts w:ascii="Adobe Caslon Pro" w:eastAsia="Adobe Caslon Pro" w:hAnsi="Adobe Caslon Pro" w:cs="Adobe Caslon Pro"/>
        </w:rPr>
        <w:t xml:space="preserve">laws and license conditions by issuing warning, imposing administrative fines, suspending or terminating net license. </w:t>
      </w:r>
    </w:p>
    <w:p w14:paraId="5727906C" w14:textId="5170BB76" w:rsidR="00A160AC" w:rsidRDefault="00776F15" w:rsidP="00165CD4">
      <w:pPr>
        <w:spacing w:before="60" w:after="0" w:line="240" w:lineRule="auto"/>
        <w:ind w:left="360"/>
        <w:jc w:val="both"/>
        <w:rPr>
          <w:rFonts w:ascii="Adobe Caslon Pro" w:eastAsia="Adobe Caslon Pro" w:hAnsi="Adobe Caslon Pro" w:cs="Adobe Caslon Pro"/>
        </w:rPr>
      </w:pPr>
      <w:r>
        <w:rPr>
          <w:rFonts w:ascii="Adobe Caslon Pro" w:eastAsia="Adobe Caslon Pro" w:hAnsi="Adobe Caslon Pro" w:cs="Adobe Caslon Pro"/>
        </w:rPr>
        <w:t>The law in general is outdated. It does not meet the contemporary requirements of free flow of information, net neutrality, non-discrimination, proportionality</w:t>
      </w:r>
      <w:r w:rsidR="005345B5">
        <w:rPr>
          <w:rFonts w:ascii="Adobe Caslon Pro" w:eastAsia="Adobe Caslon Pro" w:hAnsi="Adobe Caslon Pro" w:cs="Adobe Caslon Pro"/>
        </w:rPr>
        <w:t xml:space="preserve"> and other components of freedom of speech</w:t>
      </w:r>
      <w:r>
        <w:rPr>
          <w:rFonts w:ascii="Adobe Caslon Pro" w:eastAsia="Adobe Caslon Pro" w:hAnsi="Adobe Caslon Pro" w:cs="Adobe Caslon Pro"/>
        </w:rPr>
        <w:t xml:space="preserve">. The concept of freedom of speech and free flow of information are not addressed at all in the law. The </w:t>
      </w:r>
      <w:r w:rsidR="005345B5">
        <w:rPr>
          <w:rFonts w:ascii="Adobe Caslon Pro" w:eastAsia="Adobe Caslon Pro" w:hAnsi="Adobe Caslon Pro" w:cs="Adobe Caslon Pro"/>
        </w:rPr>
        <w:t>l</w:t>
      </w:r>
      <w:r>
        <w:rPr>
          <w:rFonts w:ascii="Adobe Caslon Pro" w:eastAsia="Adobe Caslon Pro" w:hAnsi="Adobe Caslon Pro" w:cs="Adobe Caslon Pro"/>
        </w:rPr>
        <w:t xml:space="preserve">aw is mostly designed to regulate technical rather than substantive aspects of network operation. The network operators, following the policy of the </w:t>
      </w:r>
      <w:r w:rsidR="00A81C93">
        <w:rPr>
          <w:rFonts w:ascii="Adobe Caslon Pro" w:eastAsia="Adobe Caslon Pro" w:hAnsi="Adobe Caslon Pro" w:cs="Adobe Caslon Pro"/>
        </w:rPr>
        <w:t xml:space="preserve">above </w:t>
      </w:r>
      <w:r>
        <w:rPr>
          <w:rFonts w:ascii="Adobe Caslon Pro" w:eastAsia="Adobe Caslon Pro" w:hAnsi="Adobe Caslon Pro" w:cs="Adobe Caslon Pro"/>
        </w:rPr>
        <w:t xml:space="preserve">regulatory body, </w:t>
      </w:r>
      <w:r w:rsidR="005345B5">
        <w:rPr>
          <w:rFonts w:ascii="Adobe Caslon Pro" w:eastAsia="Adobe Caslon Pro" w:hAnsi="Adobe Caslon Pro" w:cs="Adobe Caslon Pro"/>
        </w:rPr>
        <w:t xml:space="preserve">often </w:t>
      </w:r>
      <w:r>
        <w:rPr>
          <w:rFonts w:ascii="Adobe Caslon Pro" w:eastAsia="Adobe Caslon Pro" w:hAnsi="Adobe Caslon Pro" w:cs="Adobe Caslon Pro"/>
        </w:rPr>
        <w:t>stated publicly that they do not wish to deal with anything that</w:t>
      </w:r>
      <w:r w:rsidR="005345B5">
        <w:rPr>
          <w:rFonts w:ascii="Adobe Caslon Pro" w:eastAsia="Adobe Caslon Pro" w:hAnsi="Adobe Caslon Pro" w:cs="Adobe Caslon Pro"/>
        </w:rPr>
        <w:t xml:space="preserve"> relates to content as they deal  only with maintaining </w:t>
      </w:r>
      <w:r w:rsidR="00A81C93">
        <w:rPr>
          <w:rFonts w:ascii="Adobe Caslon Pro" w:eastAsia="Adobe Caslon Pro" w:hAnsi="Adobe Caslon Pro" w:cs="Adobe Caslon Pro"/>
        </w:rPr>
        <w:t>the network that they operate</w:t>
      </w:r>
      <w:r w:rsidR="005345B5">
        <w:rPr>
          <w:rFonts w:ascii="Adobe Caslon Pro" w:eastAsia="Adobe Caslon Pro" w:hAnsi="Adobe Caslon Pro" w:cs="Adobe Caslon Pro"/>
        </w:rPr>
        <w:t xml:space="preserve">.  </w:t>
      </w:r>
      <w:r>
        <w:rPr>
          <w:rFonts w:ascii="Adobe Caslon Pro" w:eastAsia="Adobe Caslon Pro" w:hAnsi="Adobe Caslon Pro" w:cs="Adobe Caslon Pro"/>
        </w:rPr>
        <w:t xml:space="preserve"> </w:t>
      </w:r>
      <w:r w:rsidR="005344E5">
        <w:rPr>
          <w:rFonts w:ascii="Adobe Caslon Pro" w:eastAsia="Adobe Caslon Pro" w:hAnsi="Adobe Caslon Pro" w:cs="Adobe Caslon Pro"/>
        </w:rPr>
        <w:t xml:space="preserve"> </w:t>
      </w:r>
    </w:p>
    <w:p w14:paraId="66B8080E" w14:textId="24DB70BD" w:rsidR="00904FBA" w:rsidRDefault="00126021" w:rsidP="005345B5">
      <w:pPr>
        <w:spacing w:before="120" w:after="0" w:line="240" w:lineRule="auto"/>
        <w:ind w:left="360"/>
        <w:rPr>
          <w:rFonts w:ascii="Adobe Caslon Pro" w:eastAsia="Adobe Caslon Pro" w:hAnsi="Adobe Caslon Pro" w:cs="Adobe Caslon Pro"/>
        </w:rPr>
      </w:pPr>
      <w:r>
        <w:br w:type="page"/>
      </w:r>
    </w:p>
    <w:p w14:paraId="3D19F945" w14:textId="77777777" w:rsidR="00904FBA" w:rsidRDefault="00126021">
      <w:pPr>
        <w:spacing w:before="120" w:after="0" w:line="240" w:lineRule="auto"/>
        <w:ind w:left="851" w:hanging="851"/>
        <w:rPr>
          <w:rFonts w:ascii="Montserrat Light" w:eastAsia="Montserrat Light" w:hAnsi="Montserrat Light" w:cs="Montserrat Light"/>
          <w:sz w:val="24"/>
          <w:szCs w:val="24"/>
        </w:rPr>
      </w:pPr>
      <w:r>
        <w:rPr>
          <w:rFonts w:ascii="Montserrat Light" w:eastAsia="Montserrat Light" w:hAnsi="Montserrat Light" w:cs="Montserrat Light"/>
          <w:sz w:val="24"/>
          <w:szCs w:val="24"/>
        </w:rPr>
        <w:lastRenderedPageBreak/>
        <w:t>Part II.</w:t>
      </w:r>
      <w:r>
        <w:rPr>
          <w:rFonts w:ascii="Montserrat Light" w:eastAsia="Montserrat Light" w:hAnsi="Montserrat Light" w:cs="Montserrat Light"/>
          <w:sz w:val="24"/>
          <w:szCs w:val="24"/>
        </w:rPr>
        <w:tab/>
        <w:t xml:space="preserve">Indicators – Checklist </w:t>
      </w:r>
    </w:p>
    <w:p w14:paraId="287CB365"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52FAEFAC" w14:textId="77777777" w:rsidR="00904FBA" w:rsidRDefault="00126021">
      <w:pPr>
        <w:spacing w:before="120" w:after="0" w:line="240" w:lineRule="auto"/>
        <w:ind w:left="851" w:hanging="851"/>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t>II.1</w:t>
      </w:r>
      <w:r>
        <w:rPr>
          <w:rFonts w:ascii="Adobe Caslon Pro" w:eastAsia="Adobe Caslon Pro" w:hAnsi="Adobe Caslon Pro" w:cs="Adobe Caslon Pro"/>
          <w:b/>
          <w:sz w:val="24"/>
          <w:szCs w:val="24"/>
        </w:rPr>
        <w:tab/>
        <w:t>Regulatory safeguards against high concentration of ownership and/or control in media (horizontal)</w:t>
      </w:r>
    </w:p>
    <w:p w14:paraId="7FC98C59" w14:textId="77777777" w:rsidR="00904FBA" w:rsidRDefault="00904FBA">
      <w:pPr>
        <w:spacing w:before="120" w:after="0" w:line="240" w:lineRule="auto"/>
        <w:ind w:left="851" w:hanging="851"/>
        <w:rPr>
          <w:rFonts w:ascii="Adobe Caslon Pro" w:eastAsia="Adobe Caslon Pro" w:hAnsi="Adobe Caslon Pro" w:cs="Adobe Caslon Pro"/>
          <w:b/>
          <w:sz w:val="24"/>
          <w:szCs w:val="24"/>
        </w:rPr>
      </w:pPr>
    </w:p>
    <w:p w14:paraId="721A1DA0" w14:textId="77777777" w:rsidR="00904FBA" w:rsidRDefault="00126021">
      <w:pPr>
        <w:spacing w:before="120" w:after="0" w:line="240" w:lineRule="auto"/>
        <w:ind w:left="851" w:hanging="851"/>
        <w:rPr>
          <w:rFonts w:ascii="Adobe Caslon Pro" w:eastAsia="Adobe Caslon Pro" w:hAnsi="Adobe Caslon Pro" w:cs="Adobe Caslon Pro"/>
          <w:i/>
          <w:sz w:val="24"/>
          <w:szCs w:val="24"/>
        </w:rPr>
      </w:pPr>
      <w:r>
        <w:rPr>
          <w:rFonts w:ascii="Adobe Caslon Pro" w:eastAsia="Adobe Caslon Pro" w:hAnsi="Adobe Caslon Pro" w:cs="Adobe Caslon Pro"/>
          <w:i/>
          <w:sz w:val="24"/>
          <w:szCs w:val="24"/>
        </w:rPr>
        <w:t xml:space="preserve">Instructions: please note 1 when there’s a media-specific regulation/regulator, 0.5 when it’s a competition authority or regulator / regulation </w:t>
      </w:r>
    </w:p>
    <w:p w14:paraId="6EEF8785" w14:textId="77777777" w:rsidR="00904FBA" w:rsidRDefault="00904FBA">
      <w:pPr>
        <w:spacing w:before="120" w:after="0" w:line="240" w:lineRule="auto"/>
        <w:rPr>
          <w:rFonts w:ascii="Adobe Caslon Pro" w:eastAsia="Adobe Caslon Pro" w:hAnsi="Adobe Caslon Pro" w:cs="Adobe Caslon Pro"/>
        </w:rPr>
      </w:pPr>
    </w:p>
    <w:tbl>
      <w:tblPr>
        <w:tblStyle w:val="a"/>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2990"/>
        <w:gridCol w:w="630"/>
        <w:gridCol w:w="540"/>
        <w:gridCol w:w="720"/>
        <w:gridCol w:w="630"/>
        <w:gridCol w:w="425"/>
      </w:tblGrid>
      <w:tr w:rsidR="00904FBA" w14:paraId="71F53B16" w14:textId="77777777" w:rsidTr="00165CD4">
        <w:tc>
          <w:tcPr>
            <w:tcW w:w="3395" w:type="dxa"/>
            <w:shd w:val="clear" w:color="auto" w:fill="D9D9D9"/>
          </w:tcPr>
          <w:p w14:paraId="762EF80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smallCaps/>
                <w:color w:val="000000"/>
              </w:rPr>
              <w:t>TELEVISION</w:t>
            </w:r>
          </w:p>
        </w:tc>
        <w:tc>
          <w:tcPr>
            <w:tcW w:w="2990" w:type="dxa"/>
            <w:shd w:val="clear" w:color="auto" w:fill="D9D9D9"/>
          </w:tcPr>
          <w:p w14:paraId="02EDB7A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630" w:type="dxa"/>
            <w:shd w:val="clear" w:color="auto" w:fill="D9D9D9"/>
          </w:tcPr>
          <w:p w14:paraId="74AB416E"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68FA08E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40" w:type="dxa"/>
            <w:shd w:val="clear" w:color="auto" w:fill="D9D9D9"/>
          </w:tcPr>
          <w:p w14:paraId="5B348512"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08E1E6B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shd w:val="clear" w:color="auto" w:fill="D9D9D9"/>
          </w:tcPr>
          <w:p w14:paraId="5D5DF3BE"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630" w:type="dxa"/>
            <w:shd w:val="clear" w:color="auto" w:fill="D9D9D9"/>
          </w:tcPr>
          <w:p w14:paraId="785CAF5D"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c>
          <w:tcPr>
            <w:tcW w:w="425" w:type="dxa"/>
            <w:shd w:val="clear" w:color="auto" w:fill="D9D9D9"/>
          </w:tcPr>
          <w:p w14:paraId="16C07FD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01D0DC0C" w14:textId="77777777" w:rsidTr="00165CD4">
        <w:tc>
          <w:tcPr>
            <w:tcW w:w="3395" w:type="dxa"/>
            <w:tcBorders>
              <w:bottom w:val="single" w:sz="18" w:space="0" w:color="000000"/>
            </w:tcBorders>
          </w:tcPr>
          <w:p w14:paraId="67E8AEF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media legislation contain specific thresholds or limits, based on objective criteria (e.g. number of licenses, audience share, circulation, distribution of share capital or voting rights, turnover/revenue) to prevent a high level of horizontal concentration of ownership and/or control in this sector?</w:t>
            </w:r>
          </w:p>
        </w:tc>
        <w:tc>
          <w:tcPr>
            <w:tcW w:w="2990" w:type="dxa"/>
            <w:tcBorders>
              <w:bottom w:val="single" w:sz="18" w:space="0" w:color="000000"/>
            </w:tcBorders>
          </w:tcPr>
          <w:p w14:paraId="648DB3E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aims to assess the existence of regulatory safeguards (sector-specific) against a high horizontal concentration of ownership and/or control in the TELEVISION sector.</w:t>
            </w:r>
          </w:p>
        </w:tc>
        <w:tc>
          <w:tcPr>
            <w:tcW w:w="630" w:type="dxa"/>
            <w:tcBorders>
              <w:bottom w:val="single" w:sz="18" w:space="0" w:color="000000"/>
            </w:tcBorders>
          </w:tcPr>
          <w:p w14:paraId="2B3C04F5" w14:textId="2B21435E" w:rsidR="00904FBA" w:rsidRDefault="00116DF9">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40" w:type="dxa"/>
            <w:tcBorders>
              <w:bottom w:val="single" w:sz="18" w:space="0" w:color="000000"/>
            </w:tcBorders>
          </w:tcPr>
          <w:p w14:paraId="3896E28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Borders>
              <w:bottom w:val="single" w:sz="18" w:space="0" w:color="000000"/>
            </w:tcBorders>
          </w:tcPr>
          <w:p w14:paraId="0F7D1F6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Borders>
              <w:bottom w:val="single" w:sz="18" w:space="0" w:color="000000"/>
            </w:tcBorders>
          </w:tcPr>
          <w:p w14:paraId="4E29608B"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val="restart"/>
          </w:tcPr>
          <w:p w14:paraId="246996F4"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Existence (E) of safeguards</w:t>
            </w:r>
          </w:p>
        </w:tc>
      </w:tr>
      <w:tr w:rsidR="00904FBA" w14:paraId="14BD071F" w14:textId="77777777" w:rsidTr="00165CD4">
        <w:tc>
          <w:tcPr>
            <w:tcW w:w="3395" w:type="dxa"/>
          </w:tcPr>
          <w:p w14:paraId="44965DD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the thresholds in the audiovisual sector and/or hearing complaints? (e.g. media and/or competition authority)?</w:t>
            </w:r>
          </w:p>
        </w:tc>
        <w:tc>
          <w:tcPr>
            <w:tcW w:w="2990" w:type="dxa"/>
          </w:tcPr>
          <w:p w14:paraId="579A3A9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 for the regulation on audiovisual media concentration.</w:t>
            </w:r>
          </w:p>
        </w:tc>
        <w:tc>
          <w:tcPr>
            <w:tcW w:w="630" w:type="dxa"/>
          </w:tcPr>
          <w:p w14:paraId="52C6F358" w14:textId="36223E4C" w:rsidR="00904FBA" w:rsidRDefault="00116DF9">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40" w:type="dxa"/>
          </w:tcPr>
          <w:p w14:paraId="3572692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Pr>
          <w:p w14:paraId="01391CD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Pr>
          <w:p w14:paraId="071440D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2F09598B"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695D254E" w14:textId="77777777" w:rsidTr="00165CD4">
        <w:tc>
          <w:tcPr>
            <w:tcW w:w="3395" w:type="dxa"/>
          </w:tcPr>
          <w:p w14:paraId="32C6F562" w14:textId="50D4DE3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this body sanctioning/enforcement powers in order to impose proportionate 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2990" w:type="dxa"/>
          </w:tcPr>
          <w:p w14:paraId="15C08CE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The variable aims at assessing if the law is providing a due system of sanctions to sector-specific regulation, such as: </w:t>
            </w:r>
          </w:p>
          <w:p w14:paraId="16E94E86"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Refusal of additional licences;</w:t>
            </w:r>
          </w:p>
          <w:p w14:paraId="0F761E0C"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Blocking of a merger or acquisition; </w:t>
            </w:r>
          </w:p>
          <w:p w14:paraId="416B6666"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50442372"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give up licences/activities in other media sectors </w:t>
            </w:r>
          </w:p>
          <w:p w14:paraId="61109A0A"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divestiture.</w:t>
            </w:r>
          </w:p>
        </w:tc>
        <w:tc>
          <w:tcPr>
            <w:tcW w:w="630" w:type="dxa"/>
          </w:tcPr>
          <w:p w14:paraId="54F2525D" w14:textId="5ABCB895" w:rsidR="00904FBA" w:rsidRDefault="00116DF9">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1</w:t>
            </w:r>
          </w:p>
        </w:tc>
        <w:tc>
          <w:tcPr>
            <w:tcW w:w="540" w:type="dxa"/>
          </w:tcPr>
          <w:p w14:paraId="6F4EA6B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Pr>
          <w:p w14:paraId="375F31D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Pr>
          <w:p w14:paraId="5A070FB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5BF1E14D"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2886C6C4" w14:textId="77777777" w:rsidTr="00165CD4">
        <w:tc>
          <w:tcPr>
            <w:tcW w:w="3395" w:type="dxa"/>
            <w:tcBorders>
              <w:top w:val="single" w:sz="18" w:space="0" w:color="000000"/>
              <w:bottom w:val="single" w:sz="18" w:space="0" w:color="000000"/>
            </w:tcBorders>
            <w:shd w:val="clear" w:color="auto" w:fill="F2F2F2"/>
          </w:tcPr>
          <w:p w14:paraId="356D157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2990" w:type="dxa"/>
            <w:tcBorders>
              <w:top w:val="single" w:sz="18" w:space="0" w:color="000000"/>
              <w:bottom w:val="single" w:sz="18" w:space="0" w:color="000000"/>
            </w:tcBorders>
          </w:tcPr>
          <w:p w14:paraId="34DDB1A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indicator aims to assess the effective implementation of sector-specific remedies against a high horizontal concentration of ownership and/or control in the television media.</w:t>
            </w:r>
          </w:p>
        </w:tc>
        <w:tc>
          <w:tcPr>
            <w:tcW w:w="1170" w:type="dxa"/>
            <w:gridSpan w:val="2"/>
            <w:tcBorders>
              <w:top w:val="single" w:sz="18" w:space="0" w:color="000000"/>
              <w:bottom w:val="single" w:sz="18" w:space="0" w:color="000000"/>
            </w:tcBorders>
          </w:tcPr>
          <w:p w14:paraId="37F42BD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2D4242A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sz w:val="18"/>
                <w:szCs w:val="18"/>
              </w:rPr>
            </w:pPr>
            <w:r>
              <w:rPr>
                <w:rFonts w:ascii="Adobe Caslon Pro" w:eastAsia="Adobe Caslon Pro" w:hAnsi="Adobe Caslon Pro" w:cs="Adobe Caslon Pro"/>
                <w:b/>
                <w:color w:val="000000"/>
                <w:sz w:val="18"/>
                <w:szCs w:val="18"/>
              </w:rPr>
              <w:t xml:space="preserve">Medium risk: the authority's powers are not always used in all the relevant </w:t>
            </w:r>
            <w:r>
              <w:rPr>
                <w:rFonts w:ascii="Adobe Caslon Pro" w:eastAsia="Adobe Caslon Pro" w:hAnsi="Adobe Caslon Pro" w:cs="Adobe Caslon Pro"/>
                <w:b/>
                <w:sz w:val="18"/>
                <w:szCs w:val="18"/>
              </w:rPr>
              <w:t>cases</w:t>
            </w:r>
          </w:p>
          <w:p w14:paraId="6203C3F4" w14:textId="77777777" w:rsidR="00904FBA" w:rsidRDefault="00126021">
            <w:pPr>
              <w:spacing w:before="120" w:after="0" w:line="240" w:lineRule="auto"/>
              <w:rPr>
                <w:rFonts w:ascii="Adobe Caslon Pro" w:eastAsia="Adobe Caslon Pro" w:hAnsi="Adobe Caslon Pro" w:cs="Adobe Caslon Pro"/>
                <w:b/>
                <w:sz w:val="18"/>
                <w:szCs w:val="18"/>
              </w:rPr>
            </w:pPr>
            <w:r>
              <w:rPr>
                <w:rFonts w:ascii="Adobe Caslon Pro" w:eastAsia="Adobe Caslon Pro" w:hAnsi="Adobe Caslon Pro" w:cs="Adobe Caslon Pro"/>
                <w:b/>
                <w:sz w:val="18"/>
                <w:szCs w:val="18"/>
              </w:rPr>
              <w:t>High risk: the relevant authority never uses its sanctioning powers</w:t>
            </w:r>
          </w:p>
        </w:tc>
        <w:tc>
          <w:tcPr>
            <w:tcW w:w="720" w:type="dxa"/>
            <w:tcBorders>
              <w:top w:val="single" w:sz="18" w:space="0" w:color="000000"/>
              <w:bottom w:val="single" w:sz="18" w:space="0" w:color="000000"/>
            </w:tcBorders>
          </w:tcPr>
          <w:p w14:paraId="458145D3" w14:textId="5ABF2AC9"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Low</w:t>
            </w:r>
          </w:p>
        </w:tc>
        <w:tc>
          <w:tcPr>
            <w:tcW w:w="630" w:type="dxa"/>
            <w:tcBorders>
              <w:top w:val="single" w:sz="18" w:space="0" w:color="000000"/>
              <w:bottom w:val="single" w:sz="18" w:space="0" w:color="000000"/>
            </w:tcBorders>
          </w:tcPr>
          <w:p w14:paraId="0B6095D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1361C31C"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Effective Implementation (I)</w:t>
            </w:r>
          </w:p>
        </w:tc>
      </w:tr>
      <w:tr w:rsidR="00904FBA" w14:paraId="22A6A788" w14:textId="77777777" w:rsidTr="00165CD4">
        <w:tc>
          <w:tcPr>
            <w:tcW w:w="3395" w:type="dxa"/>
            <w:tcBorders>
              <w:top w:val="single" w:sz="18" w:space="0" w:color="000000"/>
            </w:tcBorders>
          </w:tcPr>
          <w:p w14:paraId="55840C8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Total </w:t>
            </w:r>
          </w:p>
        </w:tc>
        <w:tc>
          <w:tcPr>
            <w:tcW w:w="2990" w:type="dxa"/>
            <w:tcBorders>
              <w:top w:val="single" w:sz="18" w:space="0" w:color="000000"/>
            </w:tcBorders>
          </w:tcPr>
          <w:p w14:paraId="45E11073"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30" w:type="dxa"/>
            <w:tcBorders>
              <w:top w:val="single" w:sz="18" w:space="0" w:color="000000"/>
            </w:tcBorders>
          </w:tcPr>
          <w:p w14:paraId="6640E637" w14:textId="2F673B4E"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3</w:t>
            </w:r>
          </w:p>
        </w:tc>
        <w:tc>
          <w:tcPr>
            <w:tcW w:w="540" w:type="dxa"/>
            <w:tcBorders>
              <w:top w:val="single" w:sz="18" w:space="0" w:color="000000"/>
            </w:tcBorders>
          </w:tcPr>
          <w:p w14:paraId="62CCAF0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Borders>
              <w:top w:val="single" w:sz="18" w:space="0" w:color="000000"/>
            </w:tcBorders>
          </w:tcPr>
          <w:p w14:paraId="6163CB0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Borders>
              <w:top w:val="single" w:sz="18" w:space="0" w:color="000000"/>
            </w:tcBorders>
          </w:tcPr>
          <w:p w14:paraId="4C71A94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3F7911A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6E75D5E9" w14:textId="77777777" w:rsidR="00904FBA" w:rsidRPr="00116DF9" w:rsidRDefault="00126021">
      <w:pPr>
        <w:spacing w:before="120" w:after="0" w:line="240" w:lineRule="auto"/>
        <w:rPr>
          <w:rFonts w:ascii="Adobe Caslon Pro" w:eastAsia="Adobe Caslon Pro" w:hAnsi="Adobe Caslon Pro" w:cs="Adobe Caslon Pro"/>
        </w:rPr>
      </w:pPr>
      <w:r>
        <w:br w:type="page"/>
      </w:r>
    </w:p>
    <w:tbl>
      <w:tblPr>
        <w:tblStyle w:val="a0"/>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3260"/>
        <w:gridCol w:w="992"/>
        <w:gridCol w:w="513"/>
        <w:gridCol w:w="745"/>
        <w:gridCol w:w="519"/>
        <w:gridCol w:w="425"/>
      </w:tblGrid>
      <w:tr w:rsidR="00904FBA" w14:paraId="713ABC56" w14:textId="77777777" w:rsidTr="00165CD4">
        <w:tc>
          <w:tcPr>
            <w:tcW w:w="3395" w:type="dxa"/>
            <w:shd w:val="clear" w:color="auto" w:fill="D9D9D9"/>
          </w:tcPr>
          <w:p w14:paraId="399C2CC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smallCaps/>
                <w:color w:val="000000"/>
              </w:rPr>
              <w:lastRenderedPageBreak/>
              <w:t>PRINT</w:t>
            </w:r>
          </w:p>
        </w:tc>
        <w:tc>
          <w:tcPr>
            <w:tcW w:w="3260" w:type="dxa"/>
            <w:shd w:val="clear" w:color="auto" w:fill="D9D9D9"/>
          </w:tcPr>
          <w:p w14:paraId="376DAB2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992" w:type="dxa"/>
            <w:shd w:val="clear" w:color="auto" w:fill="D9D9D9"/>
          </w:tcPr>
          <w:p w14:paraId="054CA6A2"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68A13AB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3" w:type="dxa"/>
            <w:shd w:val="clear" w:color="auto" w:fill="D9D9D9"/>
          </w:tcPr>
          <w:p w14:paraId="0C5567BA"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437912B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shd w:val="clear" w:color="auto" w:fill="D9D9D9"/>
          </w:tcPr>
          <w:p w14:paraId="16D04057"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519" w:type="dxa"/>
            <w:shd w:val="clear" w:color="auto" w:fill="D9D9D9"/>
          </w:tcPr>
          <w:p w14:paraId="4E410A1E"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c>
          <w:tcPr>
            <w:tcW w:w="425" w:type="dxa"/>
            <w:shd w:val="clear" w:color="auto" w:fill="D9D9D9"/>
          </w:tcPr>
          <w:p w14:paraId="302E09C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507449BC" w14:textId="77777777" w:rsidTr="00165CD4">
        <w:tc>
          <w:tcPr>
            <w:tcW w:w="3395" w:type="dxa"/>
            <w:tcBorders>
              <w:bottom w:val="single" w:sz="18" w:space="0" w:color="000000"/>
            </w:tcBorders>
          </w:tcPr>
          <w:p w14:paraId="7558184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media legislation contain specific thresholds or limits, based on objective criteria (e.g. number of licenses, audience share, circulation, distribution of share capital or voting rights, turnover/revenue) to prevent a high level of horizontal concentration of ownership and/or control in this sector?</w:t>
            </w:r>
          </w:p>
        </w:tc>
        <w:tc>
          <w:tcPr>
            <w:tcW w:w="3260" w:type="dxa"/>
            <w:tcBorders>
              <w:bottom w:val="single" w:sz="18" w:space="0" w:color="000000"/>
            </w:tcBorders>
          </w:tcPr>
          <w:p w14:paraId="4FA8C23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aims to assess the existence of regulatory safeguards (sector-specific) against a high horizontal concentration of ownership and/or control in the </w:t>
            </w:r>
            <w:r>
              <w:rPr>
                <w:rFonts w:ascii="Adobe Caslon Pro" w:eastAsia="Adobe Caslon Pro" w:hAnsi="Adobe Caslon Pro" w:cs="Adobe Caslon Pro"/>
              </w:rPr>
              <w:t>PRINT</w:t>
            </w:r>
            <w:r>
              <w:rPr>
                <w:rFonts w:ascii="Adobe Caslon Pro" w:eastAsia="Adobe Caslon Pro" w:hAnsi="Adobe Caslon Pro" w:cs="Adobe Caslon Pro"/>
                <w:color w:val="000000"/>
              </w:rPr>
              <w:t xml:space="preserve"> sector.</w:t>
            </w:r>
          </w:p>
        </w:tc>
        <w:tc>
          <w:tcPr>
            <w:tcW w:w="992" w:type="dxa"/>
            <w:tcBorders>
              <w:bottom w:val="single" w:sz="18" w:space="0" w:color="000000"/>
            </w:tcBorders>
          </w:tcPr>
          <w:p w14:paraId="182EE6FC" w14:textId="7170DFBB"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13" w:type="dxa"/>
            <w:tcBorders>
              <w:bottom w:val="single" w:sz="18" w:space="0" w:color="000000"/>
            </w:tcBorders>
          </w:tcPr>
          <w:p w14:paraId="5A601DD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Borders>
              <w:bottom w:val="single" w:sz="18" w:space="0" w:color="000000"/>
            </w:tcBorders>
          </w:tcPr>
          <w:p w14:paraId="3464FE0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bottom w:val="single" w:sz="18" w:space="0" w:color="000000"/>
            </w:tcBorders>
          </w:tcPr>
          <w:p w14:paraId="2172D66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val="restart"/>
          </w:tcPr>
          <w:p w14:paraId="4D97B7D5"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Existence (E) of safeguards</w:t>
            </w:r>
          </w:p>
        </w:tc>
      </w:tr>
      <w:tr w:rsidR="00904FBA" w14:paraId="557D13E0" w14:textId="77777777" w:rsidTr="00165CD4">
        <w:tc>
          <w:tcPr>
            <w:tcW w:w="3395" w:type="dxa"/>
          </w:tcPr>
          <w:p w14:paraId="183D859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the thresholds in the audiovisual sector and/or hearing complaints? (e.g. media and/or competition authority)?</w:t>
            </w:r>
          </w:p>
        </w:tc>
        <w:tc>
          <w:tcPr>
            <w:tcW w:w="3260" w:type="dxa"/>
          </w:tcPr>
          <w:p w14:paraId="0B3AD8F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 for the regulation on audiovisual media concentration.</w:t>
            </w:r>
          </w:p>
        </w:tc>
        <w:tc>
          <w:tcPr>
            <w:tcW w:w="992" w:type="dxa"/>
          </w:tcPr>
          <w:p w14:paraId="6BA20671" w14:textId="48790C22"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13" w:type="dxa"/>
          </w:tcPr>
          <w:p w14:paraId="41DE1C4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Pr>
          <w:p w14:paraId="00EFBA1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Pr>
          <w:p w14:paraId="07C3E11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009E5705"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069A27D2" w14:textId="77777777" w:rsidTr="00165CD4">
        <w:tc>
          <w:tcPr>
            <w:tcW w:w="3395" w:type="dxa"/>
          </w:tcPr>
          <w:p w14:paraId="3A704B49" w14:textId="551F8943"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this body sanctioning/enforcement powers in order to impose proportionate 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3260" w:type="dxa"/>
          </w:tcPr>
          <w:p w14:paraId="0105011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The variable aims at assessing if the law is providing a due system of sanctions to sector-specific regulation, such as: </w:t>
            </w:r>
          </w:p>
          <w:p w14:paraId="3808AE52"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Refusal of additional licences;</w:t>
            </w:r>
          </w:p>
          <w:p w14:paraId="40145223"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Blocking of a merger or acquisition; </w:t>
            </w:r>
          </w:p>
          <w:p w14:paraId="669FDF8E"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1E50386F"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give up licences/activities in other media sectors </w:t>
            </w:r>
          </w:p>
          <w:p w14:paraId="0691B8BE"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divestiture.</w:t>
            </w:r>
          </w:p>
        </w:tc>
        <w:tc>
          <w:tcPr>
            <w:tcW w:w="992" w:type="dxa"/>
          </w:tcPr>
          <w:p w14:paraId="1F691044" w14:textId="4A084CDA"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13" w:type="dxa"/>
          </w:tcPr>
          <w:p w14:paraId="1CA1BFD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Pr>
          <w:p w14:paraId="044A863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Pr>
          <w:p w14:paraId="3A0B81E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66849021"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1CF837AA" w14:textId="77777777" w:rsidTr="00165CD4">
        <w:tc>
          <w:tcPr>
            <w:tcW w:w="3395" w:type="dxa"/>
            <w:tcBorders>
              <w:top w:val="single" w:sz="18" w:space="0" w:color="000000"/>
              <w:bottom w:val="single" w:sz="18" w:space="0" w:color="000000"/>
            </w:tcBorders>
            <w:shd w:val="clear" w:color="auto" w:fill="F2F2F2"/>
          </w:tcPr>
          <w:p w14:paraId="62F650F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3260" w:type="dxa"/>
            <w:tcBorders>
              <w:top w:val="single" w:sz="18" w:space="0" w:color="000000"/>
              <w:bottom w:val="single" w:sz="18" w:space="0" w:color="000000"/>
            </w:tcBorders>
          </w:tcPr>
          <w:p w14:paraId="1E8E18D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indicator aims to assess the effective implementation of sector-specific remedies against a high horizontal concentration of ownership and/or control in the television media.</w:t>
            </w:r>
          </w:p>
        </w:tc>
        <w:tc>
          <w:tcPr>
            <w:tcW w:w="1505" w:type="dxa"/>
            <w:gridSpan w:val="2"/>
            <w:tcBorders>
              <w:top w:val="single" w:sz="18" w:space="0" w:color="000000"/>
              <w:bottom w:val="single" w:sz="18" w:space="0" w:color="000000"/>
            </w:tcBorders>
          </w:tcPr>
          <w:p w14:paraId="4C5B872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6E5DEDD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sz w:val="18"/>
                <w:szCs w:val="18"/>
              </w:rPr>
            </w:pPr>
            <w:r>
              <w:rPr>
                <w:rFonts w:ascii="Adobe Caslon Pro" w:eastAsia="Adobe Caslon Pro" w:hAnsi="Adobe Caslon Pro" w:cs="Adobe Caslon Pro"/>
                <w:b/>
                <w:color w:val="000000"/>
                <w:sz w:val="18"/>
                <w:szCs w:val="18"/>
              </w:rPr>
              <w:t xml:space="preserve">Medium risk: the authority's </w:t>
            </w:r>
            <w:r>
              <w:rPr>
                <w:rFonts w:ascii="Adobe Caslon Pro" w:eastAsia="Adobe Caslon Pro" w:hAnsi="Adobe Caslon Pro" w:cs="Adobe Caslon Pro"/>
                <w:b/>
                <w:color w:val="000000"/>
                <w:sz w:val="18"/>
                <w:szCs w:val="18"/>
              </w:rPr>
              <w:lastRenderedPageBreak/>
              <w:t xml:space="preserve">powers are not always used in all the relevant </w:t>
            </w:r>
            <w:r>
              <w:rPr>
                <w:rFonts w:ascii="Adobe Caslon Pro" w:eastAsia="Adobe Caslon Pro" w:hAnsi="Adobe Caslon Pro" w:cs="Adobe Caslon Pro"/>
                <w:b/>
                <w:sz w:val="18"/>
                <w:szCs w:val="18"/>
              </w:rPr>
              <w:t>cases</w:t>
            </w:r>
          </w:p>
          <w:p w14:paraId="2479394E" w14:textId="77777777" w:rsidR="00904FBA" w:rsidRDefault="00126021">
            <w:pPr>
              <w:spacing w:before="120" w:after="0" w:line="240" w:lineRule="auto"/>
              <w:rPr>
                <w:rFonts w:ascii="Adobe Caslon Pro" w:eastAsia="Adobe Caslon Pro" w:hAnsi="Adobe Caslon Pro" w:cs="Adobe Caslon Pro"/>
                <w:b/>
                <w:sz w:val="18"/>
                <w:szCs w:val="18"/>
              </w:rPr>
            </w:pPr>
            <w:r>
              <w:rPr>
                <w:rFonts w:ascii="Adobe Caslon Pro" w:eastAsia="Adobe Caslon Pro" w:hAnsi="Adobe Caslon Pro" w:cs="Adobe Caslon Pro"/>
                <w:b/>
                <w:sz w:val="18"/>
                <w:szCs w:val="18"/>
              </w:rPr>
              <w:t>High risk: the relevant authority never uses its sanctioning powers</w:t>
            </w:r>
          </w:p>
        </w:tc>
        <w:tc>
          <w:tcPr>
            <w:tcW w:w="745" w:type="dxa"/>
            <w:tcBorders>
              <w:top w:val="single" w:sz="18" w:space="0" w:color="000000"/>
              <w:bottom w:val="single" w:sz="18" w:space="0" w:color="000000"/>
            </w:tcBorders>
          </w:tcPr>
          <w:p w14:paraId="6AA3787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A0B5690"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3B0E7D6"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244DBBA"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C891780"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6039D384"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CFED88A"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6612F5EC"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170F1D7A" w14:textId="3D41D1CF"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High</w:t>
            </w:r>
          </w:p>
          <w:p w14:paraId="75B03AE0"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599818CF" w14:textId="39EA89AB"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top w:val="single" w:sz="18" w:space="0" w:color="000000"/>
              <w:bottom w:val="single" w:sz="18" w:space="0" w:color="000000"/>
            </w:tcBorders>
          </w:tcPr>
          <w:p w14:paraId="3AFCB53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0BC19831"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Effectiv</w:t>
            </w:r>
            <w:r>
              <w:rPr>
                <w:rFonts w:ascii="Adobe Caslon Pro" w:eastAsia="Adobe Caslon Pro" w:hAnsi="Adobe Caslon Pro" w:cs="Adobe Caslon Pro"/>
                <w:color w:val="000000"/>
              </w:rPr>
              <w:lastRenderedPageBreak/>
              <w:t>e Implementation (I)</w:t>
            </w:r>
          </w:p>
        </w:tc>
      </w:tr>
      <w:tr w:rsidR="00904FBA" w14:paraId="6C2D5F39" w14:textId="77777777" w:rsidTr="00165CD4">
        <w:tc>
          <w:tcPr>
            <w:tcW w:w="3395" w:type="dxa"/>
            <w:tcBorders>
              <w:top w:val="single" w:sz="18" w:space="0" w:color="000000"/>
            </w:tcBorders>
          </w:tcPr>
          <w:p w14:paraId="797C408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 xml:space="preserve">Total </w:t>
            </w:r>
          </w:p>
        </w:tc>
        <w:tc>
          <w:tcPr>
            <w:tcW w:w="3260" w:type="dxa"/>
            <w:tcBorders>
              <w:top w:val="single" w:sz="18" w:space="0" w:color="000000"/>
            </w:tcBorders>
          </w:tcPr>
          <w:p w14:paraId="2EC3AD92"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992" w:type="dxa"/>
            <w:tcBorders>
              <w:top w:val="single" w:sz="18" w:space="0" w:color="000000"/>
            </w:tcBorders>
          </w:tcPr>
          <w:p w14:paraId="23E674B6" w14:textId="565DA207"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1.5</w:t>
            </w:r>
          </w:p>
        </w:tc>
        <w:tc>
          <w:tcPr>
            <w:tcW w:w="513" w:type="dxa"/>
            <w:tcBorders>
              <w:top w:val="single" w:sz="18" w:space="0" w:color="000000"/>
            </w:tcBorders>
          </w:tcPr>
          <w:p w14:paraId="5B18263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Borders>
              <w:top w:val="single" w:sz="18" w:space="0" w:color="000000"/>
            </w:tcBorders>
          </w:tcPr>
          <w:p w14:paraId="487EB30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top w:val="single" w:sz="18" w:space="0" w:color="000000"/>
            </w:tcBorders>
          </w:tcPr>
          <w:p w14:paraId="3FA692A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745496E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23AB091E" w14:textId="77777777" w:rsidR="00904FBA" w:rsidRDefault="00126021">
      <w:pPr>
        <w:spacing w:before="120" w:after="0" w:line="240" w:lineRule="auto"/>
        <w:rPr>
          <w:rFonts w:ascii="Adobe Caslon Pro" w:eastAsia="Adobe Caslon Pro" w:hAnsi="Adobe Caslon Pro" w:cs="Adobe Caslon Pro"/>
        </w:rPr>
      </w:pPr>
      <w:r>
        <w:br w:type="page"/>
      </w:r>
    </w:p>
    <w:tbl>
      <w:tblPr>
        <w:tblStyle w:val="a1"/>
        <w:tblW w:w="9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3260"/>
        <w:gridCol w:w="630"/>
        <w:gridCol w:w="630"/>
        <w:gridCol w:w="720"/>
        <w:gridCol w:w="630"/>
        <w:gridCol w:w="425"/>
      </w:tblGrid>
      <w:tr w:rsidR="00904FBA" w14:paraId="248CBB56" w14:textId="77777777" w:rsidTr="00165CD4">
        <w:tc>
          <w:tcPr>
            <w:tcW w:w="3395" w:type="dxa"/>
            <w:shd w:val="clear" w:color="auto" w:fill="D9D9D9"/>
          </w:tcPr>
          <w:p w14:paraId="73897DA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smallCaps/>
                <w:color w:val="000000"/>
              </w:rPr>
              <w:lastRenderedPageBreak/>
              <w:t>RADIO</w:t>
            </w:r>
          </w:p>
        </w:tc>
        <w:tc>
          <w:tcPr>
            <w:tcW w:w="3260" w:type="dxa"/>
            <w:shd w:val="clear" w:color="auto" w:fill="D9D9D9"/>
          </w:tcPr>
          <w:p w14:paraId="7CA6E4A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630" w:type="dxa"/>
            <w:shd w:val="clear" w:color="auto" w:fill="D9D9D9"/>
          </w:tcPr>
          <w:p w14:paraId="299FE637"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764FA15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shd w:val="clear" w:color="auto" w:fill="D9D9D9"/>
          </w:tcPr>
          <w:p w14:paraId="67ECC2B8"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00F6F77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shd w:val="clear" w:color="auto" w:fill="D9D9D9"/>
          </w:tcPr>
          <w:p w14:paraId="1D807C48"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630" w:type="dxa"/>
            <w:shd w:val="clear" w:color="auto" w:fill="D9D9D9"/>
          </w:tcPr>
          <w:p w14:paraId="652C86C9"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c>
          <w:tcPr>
            <w:tcW w:w="425" w:type="dxa"/>
            <w:shd w:val="clear" w:color="auto" w:fill="D9D9D9"/>
          </w:tcPr>
          <w:p w14:paraId="783BADF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0F9FB9DD" w14:textId="77777777" w:rsidTr="00165CD4">
        <w:tc>
          <w:tcPr>
            <w:tcW w:w="3395" w:type="dxa"/>
            <w:tcBorders>
              <w:bottom w:val="single" w:sz="18" w:space="0" w:color="000000"/>
            </w:tcBorders>
          </w:tcPr>
          <w:p w14:paraId="45FBA27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media legislation contain specific thresholds or limits, based on objective criteria (e.g. number of licenses, audience share, circulation, distribution of share capital or voting rights, turnover/revenue) to prevent a high level of horizontal concentration of ownership and/or control in this sector?</w:t>
            </w:r>
          </w:p>
        </w:tc>
        <w:tc>
          <w:tcPr>
            <w:tcW w:w="3260" w:type="dxa"/>
            <w:tcBorders>
              <w:bottom w:val="single" w:sz="18" w:space="0" w:color="000000"/>
            </w:tcBorders>
          </w:tcPr>
          <w:p w14:paraId="619583D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aims to assess the existence of regulatory safeguards (sector-specific) against a high horizontal concentration of ownership and/or control in the </w:t>
            </w:r>
            <w:r>
              <w:rPr>
                <w:rFonts w:ascii="Adobe Caslon Pro" w:eastAsia="Adobe Caslon Pro" w:hAnsi="Adobe Caslon Pro" w:cs="Adobe Caslon Pro"/>
              </w:rPr>
              <w:t>RADIO</w:t>
            </w:r>
            <w:r>
              <w:rPr>
                <w:rFonts w:ascii="Adobe Caslon Pro" w:eastAsia="Adobe Caslon Pro" w:hAnsi="Adobe Caslon Pro" w:cs="Adobe Caslon Pro"/>
                <w:color w:val="000000"/>
              </w:rPr>
              <w:t xml:space="preserve"> sector.</w:t>
            </w:r>
          </w:p>
        </w:tc>
        <w:tc>
          <w:tcPr>
            <w:tcW w:w="630" w:type="dxa"/>
            <w:tcBorders>
              <w:bottom w:val="single" w:sz="18" w:space="0" w:color="000000"/>
            </w:tcBorders>
          </w:tcPr>
          <w:p w14:paraId="3FF0385C" w14:textId="69DA3D36"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630" w:type="dxa"/>
            <w:tcBorders>
              <w:bottom w:val="single" w:sz="18" w:space="0" w:color="000000"/>
            </w:tcBorders>
          </w:tcPr>
          <w:p w14:paraId="7DAEE60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Borders>
              <w:bottom w:val="single" w:sz="18" w:space="0" w:color="000000"/>
            </w:tcBorders>
          </w:tcPr>
          <w:p w14:paraId="39BC8F9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Borders>
              <w:bottom w:val="single" w:sz="18" w:space="0" w:color="000000"/>
            </w:tcBorders>
          </w:tcPr>
          <w:p w14:paraId="11DE3C8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val="restart"/>
          </w:tcPr>
          <w:p w14:paraId="15C3B266"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Existence (E) of safeguards</w:t>
            </w:r>
          </w:p>
        </w:tc>
      </w:tr>
      <w:tr w:rsidR="00904FBA" w14:paraId="1DC748F4" w14:textId="77777777" w:rsidTr="00165CD4">
        <w:tc>
          <w:tcPr>
            <w:tcW w:w="3395" w:type="dxa"/>
          </w:tcPr>
          <w:p w14:paraId="7DAA1FB5"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the thresholds in the audiovisual sector and/or hearing complaints? (e.g. media and/or competition authority)?</w:t>
            </w:r>
          </w:p>
        </w:tc>
        <w:tc>
          <w:tcPr>
            <w:tcW w:w="3260" w:type="dxa"/>
          </w:tcPr>
          <w:p w14:paraId="028F6D7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 for the regulation on audiovisual media concentration.</w:t>
            </w:r>
          </w:p>
        </w:tc>
        <w:tc>
          <w:tcPr>
            <w:tcW w:w="630" w:type="dxa"/>
          </w:tcPr>
          <w:p w14:paraId="536690A5" w14:textId="746B3401"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630" w:type="dxa"/>
          </w:tcPr>
          <w:p w14:paraId="20C7E8C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Pr>
          <w:p w14:paraId="303AEFAB"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Pr>
          <w:p w14:paraId="60093BE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5D4AE886"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5ECC6AB5" w14:textId="77777777" w:rsidTr="00165CD4">
        <w:tc>
          <w:tcPr>
            <w:tcW w:w="3395" w:type="dxa"/>
          </w:tcPr>
          <w:p w14:paraId="01467E2E" w14:textId="2CBF7FE9"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this body sanctioning/enforcement powers in order to impose proportionate 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3260" w:type="dxa"/>
          </w:tcPr>
          <w:p w14:paraId="08634D6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The variable aims at assessing if the law is providing a due system of sanctions to sector-specific regulation, such as: </w:t>
            </w:r>
          </w:p>
          <w:p w14:paraId="649D4614"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Refusal of additional licences;</w:t>
            </w:r>
          </w:p>
          <w:p w14:paraId="0096548F"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Blocking of a merger or acquisition; </w:t>
            </w:r>
          </w:p>
          <w:p w14:paraId="2236A14E"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24D6FF63"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give up licences/activities in other media sectors </w:t>
            </w:r>
          </w:p>
          <w:p w14:paraId="671033F8"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divestiture.</w:t>
            </w:r>
          </w:p>
        </w:tc>
        <w:tc>
          <w:tcPr>
            <w:tcW w:w="630" w:type="dxa"/>
          </w:tcPr>
          <w:p w14:paraId="73A69FB9" w14:textId="4FB70013"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630" w:type="dxa"/>
          </w:tcPr>
          <w:p w14:paraId="5A4A70A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Pr>
          <w:p w14:paraId="74D04E4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Pr>
          <w:p w14:paraId="76578F3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181E55C0"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02A0F57B" w14:textId="77777777" w:rsidTr="00165CD4">
        <w:tc>
          <w:tcPr>
            <w:tcW w:w="3395" w:type="dxa"/>
            <w:tcBorders>
              <w:top w:val="single" w:sz="18" w:space="0" w:color="000000"/>
              <w:bottom w:val="single" w:sz="18" w:space="0" w:color="000000"/>
            </w:tcBorders>
            <w:shd w:val="clear" w:color="auto" w:fill="F2F2F2"/>
          </w:tcPr>
          <w:p w14:paraId="6326984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3260" w:type="dxa"/>
            <w:tcBorders>
              <w:top w:val="single" w:sz="18" w:space="0" w:color="000000"/>
              <w:bottom w:val="single" w:sz="18" w:space="0" w:color="000000"/>
            </w:tcBorders>
          </w:tcPr>
          <w:p w14:paraId="5AAD365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indicator aims to assess the effective implementation of sector-specific remedies against a high horizontal concentration of ownership and/or control in the television media.</w:t>
            </w:r>
          </w:p>
        </w:tc>
        <w:tc>
          <w:tcPr>
            <w:tcW w:w="1260" w:type="dxa"/>
            <w:gridSpan w:val="2"/>
            <w:tcBorders>
              <w:top w:val="single" w:sz="18" w:space="0" w:color="000000"/>
              <w:bottom w:val="single" w:sz="18" w:space="0" w:color="000000"/>
            </w:tcBorders>
          </w:tcPr>
          <w:p w14:paraId="420B3B5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43F0633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sz w:val="18"/>
                <w:szCs w:val="18"/>
              </w:rPr>
            </w:pPr>
            <w:r>
              <w:rPr>
                <w:rFonts w:ascii="Adobe Caslon Pro" w:eastAsia="Adobe Caslon Pro" w:hAnsi="Adobe Caslon Pro" w:cs="Adobe Caslon Pro"/>
                <w:b/>
                <w:color w:val="000000"/>
                <w:sz w:val="18"/>
                <w:szCs w:val="18"/>
              </w:rPr>
              <w:lastRenderedPageBreak/>
              <w:t xml:space="preserve">Medium risk: the authority's powers are not always used in all the relevant </w:t>
            </w:r>
            <w:r>
              <w:rPr>
                <w:rFonts w:ascii="Adobe Caslon Pro" w:eastAsia="Adobe Caslon Pro" w:hAnsi="Adobe Caslon Pro" w:cs="Adobe Caslon Pro"/>
                <w:b/>
                <w:sz w:val="18"/>
                <w:szCs w:val="18"/>
              </w:rPr>
              <w:t>cases</w:t>
            </w:r>
          </w:p>
          <w:p w14:paraId="781B941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b/>
                <w:sz w:val="18"/>
                <w:szCs w:val="18"/>
              </w:rPr>
              <w:t>High risk: the relevant authority never uses its sanctioning powers</w:t>
            </w:r>
            <w:r>
              <w:rPr>
                <w:rFonts w:ascii="Adobe Caslon Pro" w:eastAsia="Adobe Caslon Pro" w:hAnsi="Adobe Caslon Pro" w:cs="Adobe Caslon Pro"/>
                <w:b/>
                <w:color w:val="000000"/>
                <w:sz w:val="18"/>
                <w:szCs w:val="18"/>
              </w:rPr>
              <w:t xml:space="preserve"> </w:t>
            </w:r>
          </w:p>
        </w:tc>
        <w:tc>
          <w:tcPr>
            <w:tcW w:w="720" w:type="dxa"/>
            <w:tcBorders>
              <w:top w:val="single" w:sz="18" w:space="0" w:color="000000"/>
              <w:bottom w:val="single" w:sz="18" w:space="0" w:color="000000"/>
            </w:tcBorders>
          </w:tcPr>
          <w:p w14:paraId="550E19E4" w14:textId="39D6D0AF"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Low</w:t>
            </w:r>
          </w:p>
        </w:tc>
        <w:tc>
          <w:tcPr>
            <w:tcW w:w="630" w:type="dxa"/>
            <w:tcBorders>
              <w:top w:val="single" w:sz="18" w:space="0" w:color="000000"/>
              <w:bottom w:val="single" w:sz="18" w:space="0" w:color="000000"/>
            </w:tcBorders>
          </w:tcPr>
          <w:p w14:paraId="1904155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4CB2CE4B"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Effective </w:t>
            </w:r>
            <w:r>
              <w:rPr>
                <w:rFonts w:ascii="Adobe Caslon Pro" w:eastAsia="Adobe Caslon Pro" w:hAnsi="Adobe Caslon Pro" w:cs="Adobe Caslon Pro"/>
                <w:color w:val="000000"/>
              </w:rPr>
              <w:lastRenderedPageBreak/>
              <w:t>Implementation (I)</w:t>
            </w:r>
          </w:p>
        </w:tc>
      </w:tr>
      <w:tr w:rsidR="00904FBA" w14:paraId="75CFD54C" w14:textId="77777777" w:rsidTr="00165CD4">
        <w:tc>
          <w:tcPr>
            <w:tcW w:w="3395" w:type="dxa"/>
            <w:tcBorders>
              <w:top w:val="single" w:sz="18" w:space="0" w:color="000000"/>
            </w:tcBorders>
          </w:tcPr>
          <w:p w14:paraId="73F6282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 xml:space="preserve">Total </w:t>
            </w:r>
          </w:p>
        </w:tc>
        <w:tc>
          <w:tcPr>
            <w:tcW w:w="3260" w:type="dxa"/>
            <w:tcBorders>
              <w:top w:val="single" w:sz="18" w:space="0" w:color="000000"/>
            </w:tcBorders>
          </w:tcPr>
          <w:p w14:paraId="457044E7"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30" w:type="dxa"/>
            <w:tcBorders>
              <w:top w:val="single" w:sz="18" w:space="0" w:color="000000"/>
            </w:tcBorders>
          </w:tcPr>
          <w:p w14:paraId="7F103ABD" w14:textId="33E2B009"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3</w:t>
            </w:r>
          </w:p>
        </w:tc>
        <w:tc>
          <w:tcPr>
            <w:tcW w:w="630" w:type="dxa"/>
            <w:tcBorders>
              <w:top w:val="single" w:sz="18" w:space="0" w:color="000000"/>
            </w:tcBorders>
          </w:tcPr>
          <w:p w14:paraId="2CAA694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20" w:type="dxa"/>
            <w:tcBorders>
              <w:top w:val="single" w:sz="18" w:space="0" w:color="000000"/>
            </w:tcBorders>
          </w:tcPr>
          <w:p w14:paraId="2095DC7B"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30" w:type="dxa"/>
            <w:tcBorders>
              <w:top w:val="single" w:sz="18" w:space="0" w:color="000000"/>
            </w:tcBorders>
          </w:tcPr>
          <w:p w14:paraId="30380EA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71982BA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4136BBD2" w14:textId="77777777" w:rsidR="00904FBA" w:rsidRDefault="00126021">
      <w:pPr>
        <w:spacing w:before="120" w:after="0" w:line="240" w:lineRule="auto"/>
        <w:rPr>
          <w:rFonts w:ascii="Adobe Caslon Pro" w:eastAsia="Adobe Caslon Pro" w:hAnsi="Adobe Caslon Pro" w:cs="Adobe Caslon Pro"/>
        </w:rPr>
      </w:pPr>
      <w:r>
        <w:br w:type="page"/>
      </w:r>
    </w:p>
    <w:tbl>
      <w:tblPr>
        <w:tblStyle w:val="a2"/>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3260"/>
        <w:gridCol w:w="992"/>
        <w:gridCol w:w="513"/>
        <w:gridCol w:w="745"/>
        <w:gridCol w:w="519"/>
        <w:gridCol w:w="425"/>
      </w:tblGrid>
      <w:tr w:rsidR="00904FBA" w14:paraId="7E54E1BB" w14:textId="77777777" w:rsidTr="00165CD4">
        <w:tc>
          <w:tcPr>
            <w:tcW w:w="3395" w:type="dxa"/>
            <w:shd w:val="clear" w:color="auto" w:fill="D9D9D9"/>
          </w:tcPr>
          <w:p w14:paraId="6BD040D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smallCaps/>
                <w:color w:val="000000"/>
              </w:rPr>
              <w:lastRenderedPageBreak/>
              <w:t>INTERNET</w:t>
            </w:r>
          </w:p>
        </w:tc>
        <w:tc>
          <w:tcPr>
            <w:tcW w:w="3260" w:type="dxa"/>
            <w:shd w:val="clear" w:color="auto" w:fill="D9D9D9"/>
          </w:tcPr>
          <w:p w14:paraId="2F53E12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992" w:type="dxa"/>
            <w:shd w:val="clear" w:color="auto" w:fill="D9D9D9"/>
          </w:tcPr>
          <w:p w14:paraId="3FF2655F"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5127C82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3" w:type="dxa"/>
            <w:shd w:val="clear" w:color="auto" w:fill="D9D9D9"/>
          </w:tcPr>
          <w:p w14:paraId="7E3737F1"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276A115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shd w:val="clear" w:color="auto" w:fill="D9D9D9"/>
          </w:tcPr>
          <w:p w14:paraId="2B27E297"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519" w:type="dxa"/>
            <w:shd w:val="clear" w:color="auto" w:fill="D9D9D9"/>
          </w:tcPr>
          <w:p w14:paraId="342C863C"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c>
          <w:tcPr>
            <w:tcW w:w="425" w:type="dxa"/>
            <w:shd w:val="clear" w:color="auto" w:fill="D9D9D9"/>
          </w:tcPr>
          <w:p w14:paraId="2B267B4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091FE3D1" w14:textId="77777777" w:rsidTr="00165CD4">
        <w:tc>
          <w:tcPr>
            <w:tcW w:w="3395" w:type="dxa"/>
            <w:tcBorders>
              <w:bottom w:val="single" w:sz="18" w:space="0" w:color="000000"/>
            </w:tcBorders>
          </w:tcPr>
          <w:p w14:paraId="1964BBF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media legislation contain specific thresholds or limits, based on objective criteria (e.g. number of licenses, audience share, circulation, distribution of share capital or voting rights, turnover/revenue) to prevent a high level of horizontal concentration of ownership and/or control in this sector?</w:t>
            </w:r>
          </w:p>
        </w:tc>
        <w:tc>
          <w:tcPr>
            <w:tcW w:w="3260" w:type="dxa"/>
            <w:tcBorders>
              <w:bottom w:val="single" w:sz="18" w:space="0" w:color="000000"/>
            </w:tcBorders>
          </w:tcPr>
          <w:p w14:paraId="488AF3E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aims to assess the existence of regulatory safeguards (sector-specific) against a high horizontal concentration of ownership and/or control in the </w:t>
            </w:r>
            <w:r>
              <w:rPr>
                <w:rFonts w:ascii="Adobe Caslon Pro" w:eastAsia="Adobe Caslon Pro" w:hAnsi="Adobe Caslon Pro" w:cs="Adobe Caslon Pro"/>
              </w:rPr>
              <w:t>ONLINE</w:t>
            </w:r>
            <w:r>
              <w:rPr>
                <w:rFonts w:ascii="Adobe Caslon Pro" w:eastAsia="Adobe Caslon Pro" w:hAnsi="Adobe Caslon Pro" w:cs="Adobe Caslon Pro"/>
                <w:color w:val="000000"/>
              </w:rPr>
              <w:t xml:space="preserve"> sector.</w:t>
            </w:r>
          </w:p>
        </w:tc>
        <w:tc>
          <w:tcPr>
            <w:tcW w:w="992" w:type="dxa"/>
            <w:tcBorders>
              <w:bottom w:val="single" w:sz="18" w:space="0" w:color="000000"/>
            </w:tcBorders>
          </w:tcPr>
          <w:p w14:paraId="15BAC4B9" w14:textId="1DF17795"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13" w:type="dxa"/>
            <w:tcBorders>
              <w:bottom w:val="single" w:sz="18" w:space="0" w:color="000000"/>
            </w:tcBorders>
          </w:tcPr>
          <w:p w14:paraId="3919B9B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Borders>
              <w:bottom w:val="single" w:sz="18" w:space="0" w:color="000000"/>
            </w:tcBorders>
          </w:tcPr>
          <w:p w14:paraId="2AF6400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bottom w:val="single" w:sz="18" w:space="0" w:color="000000"/>
            </w:tcBorders>
          </w:tcPr>
          <w:p w14:paraId="440410C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val="restart"/>
          </w:tcPr>
          <w:p w14:paraId="6B03BABD"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Existence (E) of safeguards</w:t>
            </w:r>
          </w:p>
        </w:tc>
      </w:tr>
      <w:tr w:rsidR="00904FBA" w14:paraId="5E04472A" w14:textId="77777777" w:rsidTr="00165CD4">
        <w:tc>
          <w:tcPr>
            <w:tcW w:w="3395" w:type="dxa"/>
          </w:tcPr>
          <w:p w14:paraId="277385D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the thresholds in the audiovisual sector and/or hearing complaints? (e.g. media and/or competition authority)?</w:t>
            </w:r>
          </w:p>
        </w:tc>
        <w:tc>
          <w:tcPr>
            <w:tcW w:w="3260" w:type="dxa"/>
          </w:tcPr>
          <w:p w14:paraId="15E27CC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 for the regulation on audiovisual media concentration.</w:t>
            </w:r>
          </w:p>
        </w:tc>
        <w:tc>
          <w:tcPr>
            <w:tcW w:w="992" w:type="dxa"/>
          </w:tcPr>
          <w:p w14:paraId="2CDA62F8" w14:textId="374EEBA0"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13" w:type="dxa"/>
          </w:tcPr>
          <w:p w14:paraId="51139B2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Pr>
          <w:p w14:paraId="7834504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Pr>
          <w:p w14:paraId="09F8B29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24E771C5"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2132875B" w14:textId="77777777" w:rsidTr="00165CD4">
        <w:tc>
          <w:tcPr>
            <w:tcW w:w="3395" w:type="dxa"/>
          </w:tcPr>
          <w:p w14:paraId="652B03BA" w14:textId="553C826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this body sanctioning/enforcement powers in order to impose proportionate 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3260" w:type="dxa"/>
          </w:tcPr>
          <w:p w14:paraId="3E3ADED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The variable aims at assessing if the law is providing a due system of sanctions to sector-specific regulation, such as: </w:t>
            </w:r>
          </w:p>
          <w:p w14:paraId="7384E4DB"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Refusal of additional licences;</w:t>
            </w:r>
          </w:p>
          <w:p w14:paraId="4C4C8936"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Blocking of a merger or acquisition; </w:t>
            </w:r>
          </w:p>
          <w:p w14:paraId="2F38CCF0"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311AD161"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give up licences/activities in other media sectors </w:t>
            </w:r>
          </w:p>
          <w:p w14:paraId="6CDF46EF"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divestiture.</w:t>
            </w:r>
          </w:p>
        </w:tc>
        <w:tc>
          <w:tcPr>
            <w:tcW w:w="992" w:type="dxa"/>
          </w:tcPr>
          <w:p w14:paraId="4CB130B7" w14:textId="69583AFC"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13" w:type="dxa"/>
          </w:tcPr>
          <w:p w14:paraId="44A6B9EB"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Pr>
          <w:p w14:paraId="4B37334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Pr>
          <w:p w14:paraId="1FB6180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27C3E4F0"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6961C4D4" w14:textId="77777777" w:rsidTr="00165CD4">
        <w:tc>
          <w:tcPr>
            <w:tcW w:w="3395" w:type="dxa"/>
            <w:tcBorders>
              <w:top w:val="single" w:sz="18" w:space="0" w:color="000000"/>
              <w:bottom w:val="single" w:sz="18" w:space="0" w:color="000000"/>
            </w:tcBorders>
            <w:shd w:val="clear" w:color="auto" w:fill="F2F2F2"/>
          </w:tcPr>
          <w:p w14:paraId="2A7F826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3260" w:type="dxa"/>
            <w:tcBorders>
              <w:top w:val="single" w:sz="18" w:space="0" w:color="000000"/>
              <w:bottom w:val="single" w:sz="18" w:space="0" w:color="000000"/>
            </w:tcBorders>
          </w:tcPr>
          <w:p w14:paraId="78BB7DA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indicator aims to assess the effective implementation of sector-specific remedies against a high horizontal concentration of ownership and/or control in the television media.</w:t>
            </w:r>
          </w:p>
        </w:tc>
        <w:tc>
          <w:tcPr>
            <w:tcW w:w="1505" w:type="dxa"/>
            <w:gridSpan w:val="2"/>
            <w:tcBorders>
              <w:top w:val="single" w:sz="18" w:space="0" w:color="000000"/>
              <w:bottom w:val="single" w:sz="18" w:space="0" w:color="000000"/>
            </w:tcBorders>
          </w:tcPr>
          <w:p w14:paraId="4BD0DC7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26A5B44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sz w:val="18"/>
                <w:szCs w:val="18"/>
              </w:rPr>
            </w:pPr>
            <w:r>
              <w:rPr>
                <w:rFonts w:ascii="Adobe Caslon Pro" w:eastAsia="Adobe Caslon Pro" w:hAnsi="Adobe Caslon Pro" w:cs="Adobe Caslon Pro"/>
                <w:b/>
                <w:color w:val="000000"/>
                <w:sz w:val="18"/>
                <w:szCs w:val="18"/>
              </w:rPr>
              <w:t xml:space="preserve">Medium risk: the authority's </w:t>
            </w:r>
            <w:r>
              <w:rPr>
                <w:rFonts w:ascii="Adobe Caslon Pro" w:eastAsia="Adobe Caslon Pro" w:hAnsi="Adobe Caslon Pro" w:cs="Adobe Caslon Pro"/>
                <w:b/>
                <w:color w:val="000000"/>
                <w:sz w:val="18"/>
                <w:szCs w:val="18"/>
              </w:rPr>
              <w:lastRenderedPageBreak/>
              <w:t xml:space="preserve">powers are not always used in all the relevant </w:t>
            </w:r>
            <w:r>
              <w:rPr>
                <w:rFonts w:ascii="Adobe Caslon Pro" w:eastAsia="Adobe Caslon Pro" w:hAnsi="Adobe Caslon Pro" w:cs="Adobe Caslon Pro"/>
                <w:b/>
                <w:sz w:val="18"/>
                <w:szCs w:val="18"/>
              </w:rPr>
              <w:t>cases</w:t>
            </w:r>
          </w:p>
          <w:p w14:paraId="3E02618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b/>
                <w:sz w:val="18"/>
                <w:szCs w:val="18"/>
              </w:rPr>
              <w:t>High risk: the relevant authority never uses its sanctioning powers</w:t>
            </w:r>
            <w:r>
              <w:rPr>
                <w:rFonts w:ascii="Adobe Caslon Pro" w:eastAsia="Adobe Caslon Pro" w:hAnsi="Adobe Caslon Pro" w:cs="Adobe Caslon Pro"/>
                <w:color w:val="000000"/>
              </w:rPr>
              <w:t xml:space="preserve"> </w:t>
            </w:r>
          </w:p>
        </w:tc>
        <w:tc>
          <w:tcPr>
            <w:tcW w:w="745" w:type="dxa"/>
            <w:tcBorders>
              <w:top w:val="single" w:sz="18" w:space="0" w:color="000000"/>
              <w:bottom w:val="single" w:sz="18" w:space="0" w:color="000000"/>
            </w:tcBorders>
          </w:tcPr>
          <w:p w14:paraId="7A56395A" w14:textId="77777777" w:rsidR="00904FBA" w:rsidRDefault="00904FBA"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1BAE1C61"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2D3A7947"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62D30109"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2A22E91C"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2ADEECFA"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45A4A029"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5C80B452" w14:textId="77777777"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7C6498C3" w14:textId="4AF2E6B3" w:rsidR="00165CD4" w:rsidRDefault="00165CD4" w:rsidP="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High</w:t>
            </w:r>
          </w:p>
        </w:tc>
        <w:tc>
          <w:tcPr>
            <w:tcW w:w="519" w:type="dxa"/>
            <w:tcBorders>
              <w:top w:val="single" w:sz="18" w:space="0" w:color="000000"/>
              <w:bottom w:val="single" w:sz="18" w:space="0" w:color="000000"/>
            </w:tcBorders>
          </w:tcPr>
          <w:p w14:paraId="3A45626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12DDFDE4"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Effectiv</w:t>
            </w:r>
            <w:r>
              <w:rPr>
                <w:rFonts w:ascii="Adobe Caslon Pro" w:eastAsia="Adobe Caslon Pro" w:hAnsi="Adobe Caslon Pro" w:cs="Adobe Caslon Pro"/>
                <w:color w:val="000000"/>
              </w:rPr>
              <w:lastRenderedPageBreak/>
              <w:t>e Implementation (I)</w:t>
            </w:r>
          </w:p>
        </w:tc>
      </w:tr>
      <w:tr w:rsidR="00904FBA" w14:paraId="4CD74D26" w14:textId="77777777" w:rsidTr="00165CD4">
        <w:tc>
          <w:tcPr>
            <w:tcW w:w="3395" w:type="dxa"/>
            <w:tcBorders>
              <w:top w:val="single" w:sz="18" w:space="0" w:color="000000"/>
            </w:tcBorders>
          </w:tcPr>
          <w:p w14:paraId="66C8F14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 xml:space="preserve">Total </w:t>
            </w:r>
          </w:p>
        </w:tc>
        <w:tc>
          <w:tcPr>
            <w:tcW w:w="3260" w:type="dxa"/>
            <w:tcBorders>
              <w:top w:val="single" w:sz="18" w:space="0" w:color="000000"/>
            </w:tcBorders>
          </w:tcPr>
          <w:p w14:paraId="45DCF8B9"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992" w:type="dxa"/>
            <w:tcBorders>
              <w:top w:val="single" w:sz="18" w:space="0" w:color="000000"/>
            </w:tcBorders>
          </w:tcPr>
          <w:p w14:paraId="493EB96F" w14:textId="206F3AD4"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1.5</w:t>
            </w:r>
          </w:p>
        </w:tc>
        <w:tc>
          <w:tcPr>
            <w:tcW w:w="513" w:type="dxa"/>
            <w:tcBorders>
              <w:top w:val="single" w:sz="18" w:space="0" w:color="000000"/>
            </w:tcBorders>
          </w:tcPr>
          <w:p w14:paraId="065CA43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45" w:type="dxa"/>
            <w:tcBorders>
              <w:top w:val="single" w:sz="18" w:space="0" w:color="000000"/>
            </w:tcBorders>
          </w:tcPr>
          <w:p w14:paraId="2B14204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top w:val="single" w:sz="18" w:space="0" w:color="000000"/>
            </w:tcBorders>
          </w:tcPr>
          <w:p w14:paraId="3E2819C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23714E5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7AB79A12" w14:textId="77777777" w:rsidR="00904FBA" w:rsidRDefault="00126021">
      <w:pPr>
        <w:spacing w:before="120" w:after="0" w:line="240" w:lineRule="auto"/>
        <w:rPr>
          <w:rFonts w:ascii="Adobe Caslon Pro" w:eastAsia="Adobe Caslon Pro" w:hAnsi="Adobe Caslon Pro" w:cs="Adobe Caslon Pro"/>
          <w:b/>
          <w:sz w:val="24"/>
          <w:szCs w:val="24"/>
        </w:rPr>
      </w:pPr>
      <w:r>
        <w:br w:type="page"/>
      </w:r>
    </w:p>
    <w:tbl>
      <w:tblPr>
        <w:tblStyle w:val="a3"/>
        <w:tblW w:w="99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260"/>
        <w:gridCol w:w="851"/>
        <w:gridCol w:w="567"/>
        <w:gridCol w:w="778"/>
        <w:gridCol w:w="567"/>
        <w:gridCol w:w="425"/>
      </w:tblGrid>
      <w:tr w:rsidR="00904FBA" w14:paraId="36D745B6" w14:textId="77777777" w:rsidTr="00165CD4">
        <w:tc>
          <w:tcPr>
            <w:tcW w:w="3544" w:type="dxa"/>
            <w:shd w:val="clear" w:color="auto" w:fill="D9D9D9"/>
          </w:tcPr>
          <w:p w14:paraId="709E9AA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smallCaps/>
                <w:color w:val="000000"/>
              </w:rPr>
              <w:lastRenderedPageBreak/>
              <w:t>MEDIA MERGERS</w:t>
            </w:r>
          </w:p>
        </w:tc>
        <w:tc>
          <w:tcPr>
            <w:tcW w:w="3260" w:type="dxa"/>
            <w:shd w:val="clear" w:color="auto" w:fill="D9D9D9"/>
          </w:tcPr>
          <w:p w14:paraId="0F9ED02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851" w:type="dxa"/>
            <w:shd w:val="clear" w:color="auto" w:fill="D9D9D9"/>
          </w:tcPr>
          <w:p w14:paraId="5AA454E3"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6D5977C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67" w:type="dxa"/>
            <w:shd w:val="clear" w:color="auto" w:fill="D9D9D9"/>
          </w:tcPr>
          <w:p w14:paraId="1C5616E5"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2DB908D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78" w:type="dxa"/>
            <w:shd w:val="clear" w:color="auto" w:fill="D9D9D9"/>
          </w:tcPr>
          <w:p w14:paraId="2E93E131"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567" w:type="dxa"/>
            <w:shd w:val="clear" w:color="auto" w:fill="D9D9D9"/>
          </w:tcPr>
          <w:p w14:paraId="7A32CF2B"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c>
          <w:tcPr>
            <w:tcW w:w="425" w:type="dxa"/>
            <w:shd w:val="clear" w:color="auto" w:fill="D9D9D9"/>
          </w:tcPr>
          <w:p w14:paraId="0A42919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00F88726" w14:textId="77777777" w:rsidTr="00165CD4">
        <w:tc>
          <w:tcPr>
            <w:tcW w:w="3544" w:type="dxa"/>
            <w:tcBorders>
              <w:bottom w:val="single" w:sz="18" w:space="0" w:color="000000"/>
            </w:tcBorders>
          </w:tcPr>
          <w:p w14:paraId="7B9A2F6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Can a high level of horizontal concentration of ownership and/or control in the media sector be prevented via merger control/competition rules that take into account the specificities of the media sector?</w:t>
            </w:r>
          </w:p>
        </w:tc>
        <w:tc>
          <w:tcPr>
            <w:tcW w:w="3260" w:type="dxa"/>
            <w:tcBorders>
              <w:bottom w:val="single" w:sz="18" w:space="0" w:color="000000"/>
            </w:tcBorders>
          </w:tcPr>
          <w:p w14:paraId="65189B6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aims to assess the existence of regulatory safeguards (sector specific and/ or competition law) against a high horizontal concentration of ownership and/or control in the media sector through merging operations. For instance, the law should prevent concentration in merging operations: </w:t>
            </w:r>
          </w:p>
          <w:p w14:paraId="7C0E2E9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-By containing media-specific provisions that impose stricter thresholds than in other sectors;</w:t>
            </w:r>
          </w:p>
          <w:p w14:paraId="471EE3F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 -The mandatory intervention of a media authority in merger and acquisition cases (for instance, the obligation for the competition authority to ask the advice of the media authority);</w:t>
            </w:r>
          </w:p>
          <w:p w14:paraId="071D98D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 - The possibility to overrule the approval of a concentration by the communication authority for reasons of media pluralism (or public interest in general)); -that - even though they do not contain media-specific provisions - do not exclude the media sector from their scope of application.</w:t>
            </w:r>
          </w:p>
        </w:tc>
        <w:tc>
          <w:tcPr>
            <w:tcW w:w="851" w:type="dxa"/>
            <w:tcBorders>
              <w:bottom w:val="single" w:sz="18" w:space="0" w:color="000000"/>
            </w:tcBorders>
          </w:tcPr>
          <w:p w14:paraId="157E06FE" w14:textId="6B6E3856"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67" w:type="dxa"/>
            <w:tcBorders>
              <w:bottom w:val="single" w:sz="18" w:space="0" w:color="000000"/>
            </w:tcBorders>
          </w:tcPr>
          <w:p w14:paraId="1EDEF44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78" w:type="dxa"/>
            <w:tcBorders>
              <w:bottom w:val="single" w:sz="18" w:space="0" w:color="000000"/>
            </w:tcBorders>
          </w:tcPr>
          <w:p w14:paraId="6A4EE00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67" w:type="dxa"/>
            <w:tcBorders>
              <w:bottom w:val="single" w:sz="18" w:space="0" w:color="000000"/>
            </w:tcBorders>
          </w:tcPr>
          <w:p w14:paraId="6EF52CE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val="restart"/>
          </w:tcPr>
          <w:p w14:paraId="4EC89B3E"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Existence (E) of safeguards</w:t>
            </w:r>
          </w:p>
        </w:tc>
      </w:tr>
      <w:tr w:rsidR="00904FBA" w14:paraId="6EE1C139" w14:textId="77777777" w:rsidTr="00165CD4">
        <w:tc>
          <w:tcPr>
            <w:tcW w:w="3544" w:type="dxa"/>
          </w:tcPr>
          <w:p w14:paraId="5965665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rules on mergers and/or hearing complaints? (e.g. media and/or competition authority)?</w:t>
            </w:r>
          </w:p>
        </w:tc>
        <w:tc>
          <w:tcPr>
            <w:tcW w:w="3260" w:type="dxa"/>
          </w:tcPr>
          <w:p w14:paraId="2212FD0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w:t>
            </w:r>
          </w:p>
        </w:tc>
        <w:tc>
          <w:tcPr>
            <w:tcW w:w="851" w:type="dxa"/>
          </w:tcPr>
          <w:p w14:paraId="4D81E569" w14:textId="054C9ED8"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67" w:type="dxa"/>
          </w:tcPr>
          <w:p w14:paraId="0B4ACE4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78" w:type="dxa"/>
          </w:tcPr>
          <w:p w14:paraId="4FD756A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67" w:type="dxa"/>
          </w:tcPr>
          <w:p w14:paraId="1324F42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0BB66232"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10F43529" w14:textId="77777777" w:rsidTr="00165CD4">
        <w:tc>
          <w:tcPr>
            <w:tcW w:w="3544" w:type="dxa"/>
          </w:tcPr>
          <w:p w14:paraId="65BE9639" w14:textId="3CCC36DE"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Does the law grant this body sanctioning/enforcement powers in order to impose proportionate </w:t>
            </w:r>
            <w:r>
              <w:rPr>
                <w:rFonts w:ascii="Adobe Caslon Pro" w:eastAsia="Adobe Caslon Pro" w:hAnsi="Adobe Caslon Pro" w:cs="Adobe Caslon Pro"/>
                <w:color w:val="000000"/>
              </w:rPr>
              <w:lastRenderedPageBreak/>
              <w:t>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3260" w:type="dxa"/>
          </w:tcPr>
          <w:p w14:paraId="5B9605E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 xml:space="preserve">The variable aims at assessing if the law is providing a due </w:t>
            </w:r>
            <w:r>
              <w:rPr>
                <w:rFonts w:ascii="Adobe Caslon Pro" w:eastAsia="Adobe Caslon Pro" w:hAnsi="Adobe Caslon Pro" w:cs="Adobe Caslon Pro"/>
                <w:color w:val="000000"/>
              </w:rPr>
              <w:lastRenderedPageBreak/>
              <w:t xml:space="preserve">system of sanctions to sector-specific regulation, such as: </w:t>
            </w:r>
          </w:p>
          <w:p w14:paraId="256DA97E"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Blocking of a merger or acquisition; </w:t>
            </w:r>
          </w:p>
          <w:p w14:paraId="7B0C052F"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172FE80B"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give up licences/activities in other media sectors </w:t>
            </w:r>
          </w:p>
          <w:p w14:paraId="23E5AD2A"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divestiture.</w:t>
            </w:r>
          </w:p>
        </w:tc>
        <w:tc>
          <w:tcPr>
            <w:tcW w:w="851" w:type="dxa"/>
          </w:tcPr>
          <w:p w14:paraId="3D30DC74" w14:textId="2FE377A0" w:rsidR="00904FBA" w:rsidRDefault="001E55D8">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0.5</w:t>
            </w:r>
          </w:p>
        </w:tc>
        <w:tc>
          <w:tcPr>
            <w:tcW w:w="567" w:type="dxa"/>
          </w:tcPr>
          <w:p w14:paraId="168630D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78" w:type="dxa"/>
          </w:tcPr>
          <w:p w14:paraId="350BCA9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67" w:type="dxa"/>
          </w:tcPr>
          <w:p w14:paraId="20680F0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vMerge/>
          </w:tcPr>
          <w:p w14:paraId="5316136E"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79BBAE52" w14:textId="77777777" w:rsidTr="00165CD4">
        <w:tc>
          <w:tcPr>
            <w:tcW w:w="3544" w:type="dxa"/>
            <w:tcBorders>
              <w:top w:val="single" w:sz="18" w:space="0" w:color="000000"/>
              <w:bottom w:val="single" w:sz="18" w:space="0" w:color="000000"/>
            </w:tcBorders>
            <w:shd w:val="clear" w:color="auto" w:fill="F2F2F2"/>
          </w:tcPr>
          <w:p w14:paraId="03A8235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3260" w:type="dxa"/>
            <w:tcBorders>
              <w:top w:val="single" w:sz="18" w:space="0" w:color="000000"/>
              <w:bottom w:val="single" w:sz="18" w:space="0" w:color="000000"/>
            </w:tcBorders>
          </w:tcPr>
          <w:p w14:paraId="646071F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indicator aims to assess the effective implementation of sector-specific remedies against a high horizontal concentration of ownership and/or control in the television media.</w:t>
            </w:r>
          </w:p>
        </w:tc>
        <w:tc>
          <w:tcPr>
            <w:tcW w:w="1418" w:type="dxa"/>
            <w:gridSpan w:val="2"/>
            <w:tcBorders>
              <w:top w:val="single" w:sz="18" w:space="0" w:color="000000"/>
              <w:bottom w:val="single" w:sz="18" w:space="0" w:color="000000"/>
            </w:tcBorders>
          </w:tcPr>
          <w:p w14:paraId="63019EE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503A9D6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Medium risk: the authority's powers are not always used in all the relevant cases</w:t>
            </w:r>
          </w:p>
          <w:p w14:paraId="73B6225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b/>
                <w:color w:val="000000"/>
                <w:sz w:val="18"/>
                <w:szCs w:val="18"/>
              </w:rPr>
              <w:t>High risk: the relevant authority never uses its sanctioning powers</w:t>
            </w:r>
          </w:p>
        </w:tc>
        <w:tc>
          <w:tcPr>
            <w:tcW w:w="778" w:type="dxa"/>
            <w:tcBorders>
              <w:top w:val="single" w:sz="18" w:space="0" w:color="000000"/>
              <w:bottom w:val="single" w:sz="18" w:space="0" w:color="000000"/>
            </w:tcBorders>
          </w:tcPr>
          <w:p w14:paraId="149277D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40494B0C"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26D328C1"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60C6CB29"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BF07657"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2F919C97"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49E5AC3"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5A0FA2AB"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4FADF742"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1CDB9FAA" w14:textId="2FEBF16B"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High</w:t>
            </w:r>
          </w:p>
          <w:p w14:paraId="14F88B7C"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43D2BE49" w14:textId="77777777"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2D4FF883" w14:textId="1E0BC008" w:rsidR="00165CD4"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67" w:type="dxa"/>
            <w:tcBorders>
              <w:top w:val="single" w:sz="18" w:space="0" w:color="000000"/>
              <w:bottom w:val="single" w:sz="18" w:space="0" w:color="000000"/>
            </w:tcBorders>
          </w:tcPr>
          <w:p w14:paraId="6FFD872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6C3649D7"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Effective Implementation (I)</w:t>
            </w:r>
          </w:p>
        </w:tc>
      </w:tr>
      <w:tr w:rsidR="00904FBA" w14:paraId="072BB0D4" w14:textId="77777777" w:rsidTr="00165CD4">
        <w:tc>
          <w:tcPr>
            <w:tcW w:w="3544" w:type="dxa"/>
            <w:tcBorders>
              <w:top w:val="single" w:sz="18" w:space="0" w:color="000000"/>
            </w:tcBorders>
          </w:tcPr>
          <w:p w14:paraId="301B6B5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Total </w:t>
            </w:r>
          </w:p>
        </w:tc>
        <w:tc>
          <w:tcPr>
            <w:tcW w:w="3260" w:type="dxa"/>
            <w:tcBorders>
              <w:top w:val="single" w:sz="18" w:space="0" w:color="000000"/>
            </w:tcBorders>
          </w:tcPr>
          <w:p w14:paraId="26F0A8B7"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851" w:type="dxa"/>
            <w:tcBorders>
              <w:top w:val="single" w:sz="18" w:space="0" w:color="000000"/>
            </w:tcBorders>
          </w:tcPr>
          <w:p w14:paraId="79854759" w14:textId="7F8576DD" w:rsidR="00904FBA" w:rsidRDefault="00165CD4">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1.5</w:t>
            </w:r>
          </w:p>
        </w:tc>
        <w:tc>
          <w:tcPr>
            <w:tcW w:w="567" w:type="dxa"/>
            <w:tcBorders>
              <w:top w:val="single" w:sz="18" w:space="0" w:color="000000"/>
            </w:tcBorders>
          </w:tcPr>
          <w:p w14:paraId="090F1D7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778" w:type="dxa"/>
            <w:tcBorders>
              <w:top w:val="single" w:sz="18" w:space="0" w:color="000000"/>
            </w:tcBorders>
          </w:tcPr>
          <w:p w14:paraId="23EB1D8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67" w:type="dxa"/>
            <w:tcBorders>
              <w:top w:val="single" w:sz="18" w:space="0" w:color="000000"/>
            </w:tcBorders>
          </w:tcPr>
          <w:p w14:paraId="0DD7903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425" w:type="dxa"/>
            <w:tcBorders>
              <w:top w:val="single" w:sz="18" w:space="0" w:color="000000"/>
            </w:tcBorders>
          </w:tcPr>
          <w:p w14:paraId="21C46A3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322B5742" w14:textId="77777777" w:rsidR="00904FBA" w:rsidRDefault="00904FBA">
      <w:pPr>
        <w:spacing w:before="120" w:after="0" w:line="240" w:lineRule="auto"/>
        <w:rPr>
          <w:rFonts w:ascii="Adobe Caslon Pro" w:eastAsia="Adobe Caslon Pro" w:hAnsi="Adobe Caslon Pro" w:cs="Adobe Caslon Pro"/>
        </w:rPr>
      </w:pPr>
    </w:p>
    <w:p w14:paraId="43BF5931" w14:textId="77777777" w:rsidR="00904FBA" w:rsidRDefault="00904FBA">
      <w:pPr>
        <w:spacing w:before="120" w:after="0" w:line="240" w:lineRule="auto"/>
        <w:rPr>
          <w:rFonts w:ascii="Adobe Caslon Pro" w:eastAsia="Adobe Caslon Pro" w:hAnsi="Adobe Caslon Pro" w:cs="Adobe Caslon Pro"/>
        </w:rPr>
      </w:pPr>
    </w:p>
    <w:p w14:paraId="1ECD7AF4" w14:textId="77777777" w:rsidR="00904FBA" w:rsidRDefault="00126021">
      <w:pPr>
        <w:spacing w:before="120" w:after="0" w:line="240" w:lineRule="auto"/>
        <w:ind w:left="851" w:hanging="851"/>
        <w:rPr>
          <w:rFonts w:ascii="Adobe Caslon Pro" w:eastAsia="Adobe Caslon Pro" w:hAnsi="Adobe Caslon Pro" w:cs="Adobe Caslon Pro"/>
          <w:b/>
          <w:sz w:val="24"/>
          <w:szCs w:val="24"/>
        </w:rPr>
      </w:pPr>
      <w:bookmarkStart w:id="0" w:name="_heading=h.gjdgxs" w:colFirst="0" w:colLast="0"/>
      <w:bookmarkEnd w:id="0"/>
      <w:r>
        <w:rPr>
          <w:rFonts w:ascii="Adobe Caslon Pro" w:eastAsia="Adobe Caslon Pro" w:hAnsi="Adobe Caslon Pro" w:cs="Adobe Caslon Pro"/>
          <w:b/>
          <w:sz w:val="24"/>
          <w:szCs w:val="24"/>
        </w:rPr>
        <w:t>II.5</w:t>
      </w:r>
      <w:r>
        <w:rPr>
          <w:rFonts w:ascii="Adobe Caslon Pro" w:eastAsia="Adobe Caslon Pro" w:hAnsi="Adobe Caslon Pro" w:cs="Adobe Caslon Pro"/>
          <w:b/>
          <w:sz w:val="24"/>
          <w:szCs w:val="24"/>
        </w:rPr>
        <w:tab/>
        <w:t xml:space="preserve">Regulatory Framework for Media and Net Neutrality Regulation </w:t>
      </w:r>
    </w:p>
    <w:p w14:paraId="4BF2A76D" w14:textId="77777777" w:rsidR="00904FBA" w:rsidRDefault="00904FBA">
      <w:pPr>
        <w:spacing w:before="120" w:after="0" w:line="240" w:lineRule="auto"/>
        <w:rPr>
          <w:rFonts w:ascii="Adobe Caslon Pro" w:eastAsia="Adobe Caslon Pro" w:hAnsi="Adobe Caslon Pro" w:cs="Adobe Caslon Pro"/>
        </w:rPr>
      </w:pPr>
    </w:p>
    <w:tbl>
      <w:tblPr>
        <w:tblStyle w:val="a4"/>
        <w:tblW w:w="9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1"/>
        <w:gridCol w:w="3573"/>
        <w:gridCol w:w="635"/>
        <w:gridCol w:w="572"/>
        <w:gridCol w:w="21"/>
        <w:gridCol w:w="593"/>
        <w:gridCol w:w="596"/>
        <w:gridCol w:w="15"/>
      </w:tblGrid>
      <w:tr w:rsidR="00904FBA" w14:paraId="65DB9CE2" w14:textId="77777777" w:rsidTr="001E55D8">
        <w:tc>
          <w:tcPr>
            <w:tcW w:w="3331" w:type="dxa"/>
            <w:tcBorders>
              <w:bottom w:val="single" w:sz="4" w:space="0" w:color="000000"/>
            </w:tcBorders>
          </w:tcPr>
          <w:p w14:paraId="370DD0B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smallCaps/>
                <w:color w:val="000000"/>
              </w:rPr>
            </w:pPr>
            <w:r>
              <w:rPr>
                <w:rFonts w:ascii="Adobe Caslon Pro" w:eastAsia="Adobe Caslon Pro" w:hAnsi="Adobe Caslon Pro" w:cs="Adobe Caslon Pro"/>
                <w:smallCaps/>
                <w:color w:val="000000"/>
              </w:rPr>
              <w:t>NET NEUTRALITY</w:t>
            </w:r>
          </w:p>
        </w:tc>
        <w:tc>
          <w:tcPr>
            <w:tcW w:w="3573" w:type="dxa"/>
            <w:tcBorders>
              <w:bottom w:val="single" w:sz="4" w:space="0" w:color="000000"/>
            </w:tcBorders>
          </w:tcPr>
          <w:p w14:paraId="280C1D2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smallCaps/>
                <w:color w:val="000000"/>
              </w:rPr>
            </w:pPr>
            <w:r>
              <w:rPr>
                <w:rFonts w:ascii="Adobe Caslon Pro" w:eastAsia="Adobe Caslon Pro" w:hAnsi="Adobe Caslon Pro" w:cs="Adobe Caslon Pro"/>
                <w:smallCaps/>
                <w:color w:val="000000"/>
              </w:rPr>
              <w:t>DESCRIPTION</w:t>
            </w:r>
          </w:p>
        </w:tc>
        <w:tc>
          <w:tcPr>
            <w:tcW w:w="635" w:type="dxa"/>
            <w:tcBorders>
              <w:bottom w:val="single" w:sz="4" w:space="0" w:color="000000"/>
            </w:tcBorders>
          </w:tcPr>
          <w:p w14:paraId="73C7F90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smallCaps/>
                <w:color w:val="000000"/>
              </w:rPr>
            </w:pPr>
            <w:r>
              <w:rPr>
                <w:rFonts w:ascii="Adobe Caslon Pro" w:eastAsia="Adobe Caslon Pro" w:hAnsi="Adobe Caslon Pro" w:cs="Adobe Caslon Pro"/>
                <w:smallCaps/>
                <w:color w:val="000000"/>
              </w:rPr>
              <w:t>YES</w:t>
            </w:r>
          </w:p>
        </w:tc>
        <w:tc>
          <w:tcPr>
            <w:tcW w:w="572" w:type="dxa"/>
            <w:tcBorders>
              <w:bottom w:val="single" w:sz="4" w:space="0" w:color="000000"/>
            </w:tcBorders>
          </w:tcPr>
          <w:p w14:paraId="59A9456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smallCaps/>
                <w:color w:val="000000"/>
              </w:rPr>
            </w:pPr>
            <w:r>
              <w:rPr>
                <w:rFonts w:ascii="Adobe Caslon Pro" w:eastAsia="Adobe Caslon Pro" w:hAnsi="Adobe Caslon Pro" w:cs="Adobe Caslon Pro"/>
                <w:smallCaps/>
                <w:color w:val="000000"/>
              </w:rPr>
              <w:t>NO</w:t>
            </w:r>
          </w:p>
        </w:tc>
        <w:tc>
          <w:tcPr>
            <w:tcW w:w="614" w:type="dxa"/>
            <w:gridSpan w:val="2"/>
            <w:tcBorders>
              <w:bottom w:val="single" w:sz="4" w:space="0" w:color="000000"/>
            </w:tcBorders>
          </w:tcPr>
          <w:p w14:paraId="4DD9565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smallCaps/>
                <w:color w:val="000000"/>
              </w:rPr>
            </w:pPr>
            <w:r>
              <w:rPr>
                <w:rFonts w:ascii="Adobe Caslon Pro" w:eastAsia="Adobe Caslon Pro" w:hAnsi="Adobe Caslon Pro" w:cs="Adobe Caslon Pro"/>
                <w:smallCaps/>
                <w:color w:val="000000"/>
              </w:rPr>
              <w:t>NA</w:t>
            </w:r>
          </w:p>
        </w:tc>
        <w:tc>
          <w:tcPr>
            <w:tcW w:w="611" w:type="dxa"/>
            <w:gridSpan w:val="2"/>
            <w:tcBorders>
              <w:bottom w:val="single" w:sz="4" w:space="0" w:color="000000"/>
            </w:tcBorders>
          </w:tcPr>
          <w:p w14:paraId="25D1349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smallCaps/>
                <w:color w:val="000000"/>
              </w:rPr>
            </w:pPr>
            <w:r>
              <w:rPr>
                <w:rFonts w:ascii="Adobe Caslon Pro" w:eastAsia="Adobe Caslon Pro" w:hAnsi="Adobe Caslon Pro" w:cs="Adobe Caslon Pro"/>
                <w:smallCaps/>
                <w:color w:val="000000"/>
              </w:rPr>
              <w:t>MD</w:t>
            </w:r>
          </w:p>
        </w:tc>
      </w:tr>
      <w:tr w:rsidR="00904FBA" w14:paraId="3708B9FF" w14:textId="77777777" w:rsidTr="001E55D8">
        <w:tc>
          <w:tcPr>
            <w:tcW w:w="3331" w:type="dxa"/>
            <w:tcBorders>
              <w:bottom w:val="single" w:sz="18" w:space="0" w:color="000000"/>
            </w:tcBorders>
          </w:tcPr>
          <w:p w14:paraId="351E78F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Does national law address net neutrality directly or indirectly?</w:t>
            </w:r>
          </w:p>
          <w:p w14:paraId="6D14A1E1"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p w14:paraId="4B932D5F"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bottom w:val="single" w:sz="18" w:space="0" w:color="000000"/>
            </w:tcBorders>
          </w:tcPr>
          <w:p w14:paraId="6840806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aims to determine whether net neutrality is regulated by domestic law in any way; it also aims to reflect any agreement between countries, as in the EU and countries that are part of the Council of Europe.</w:t>
            </w:r>
          </w:p>
        </w:tc>
        <w:tc>
          <w:tcPr>
            <w:tcW w:w="635" w:type="dxa"/>
            <w:tcBorders>
              <w:bottom w:val="single" w:sz="18" w:space="0" w:color="000000"/>
            </w:tcBorders>
          </w:tcPr>
          <w:p w14:paraId="0D8C03E2" w14:textId="14AAF600"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bottom w:val="single" w:sz="18" w:space="0" w:color="000000"/>
            </w:tcBorders>
          </w:tcPr>
          <w:p w14:paraId="4F7DBB9C" w14:textId="4F690CFF" w:rsidR="00904FBA" w:rsidRDefault="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bottom w:val="single" w:sz="18" w:space="0" w:color="000000"/>
            </w:tcBorders>
          </w:tcPr>
          <w:p w14:paraId="25932697"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bottom w:val="single" w:sz="18" w:space="0" w:color="000000"/>
            </w:tcBorders>
          </w:tcPr>
          <w:p w14:paraId="193C3D4F"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485C1B54" w14:textId="77777777" w:rsidTr="001E55D8">
        <w:tc>
          <w:tcPr>
            <w:tcW w:w="3331" w:type="dxa"/>
            <w:tcBorders>
              <w:top w:val="single" w:sz="18" w:space="0" w:color="000000"/>
              <w:bottom w:val="single" w:sz="18" w:space="0" w:color="000000"/>
            </w:tcBorders>
          </w:tcPr>
          <w:p w14:paraId="64D42B4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national law contain norms that prohibit blocking of websites or content online?</w:t>
            </w:r>
          </w:p>
          <w:p w14:paraId="3A8C1842"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2B8B65E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determines the degree to which a country’s net neutrality norms prevent blocking, one of the key components of a robust net neutrality framework</w:t>
            </w:r>
          </w:p>
        </w:tc>
        <w:tc>
          <w:tcPr>
            <w:tcW w:w="635" w:type="dxa"/>
            <w:tcBorders>
              <w:top w:val="single" w:sz="18" w:space="0" w:color="000000"/>
              <w:bottom w:val="single" w:sz="18" w:space="0" w:color="000000"/>
            </w:tcBorders>
          </w:tcPr>
          <w:p w14:paraId="1DD24004" w14:textId="04242E94" w:rsidR="00904FBA" w:rsidRPr="00165CD4" w:rsidRDefault="00904FBA">
            <w:pPr>
              <w:pBdr>
                <w:top w:val="nil"/>
                <w:left w:val="nil"/>
                <w:bottom w:val="nil"/>
                <w:right w:val="nil"/>
                <w:between w:val="nil"/>
              </w:pBdr>
              <w:spacing w:before="120" w:after="0" w:line="240" w:lineRule="auto"/>
              <w:rPr>
                <w:rFonts w:ascii="Times New Roman" w:eastAsia="Adobe Caslon Pro" w:hAnsi="Times New Roman" w:cs="Times New Roman"/>
                <w:color w:val="000000"/>
              </w:rPr>
            </w:pPr>
          </w:p>
        </w:tc>
        <w:tc>
          <w:tcPr>
            <w:tcW w:w="572" w:type="dxa"/>
            <w:tcBorders>
              <w:top w:val="single" w:sz="18" w:space="0" w:color="000000"/>
              <w:bottom w:val="single" w:sz="18" w:space="0" w:color="000000"/>
            </w:tcBorders>
          </w:tcPr>
          <w:p w14:paraId="25EEAA27" w14:textId="6CB11541" w:rsidR="00904FBA" w:rsidRDefault="00A81C93">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500265B2"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07043B1A"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1518B5A8" w14:textId="77777777" w:rsidTr="001E55D8">
        <w:tc>
          <w:tcPr>
            <w:tcW w:w="3331" w:type="dxa"/>
            <w:tcBorders>
              <w:top w:val="single" w:sz="18" w:space="0" w:color="000000"/>
              <w:bottom w:val="single" w:sz="18" w:space="0" w:color="000000"/>
            </w:tcBorders>
          </w:tcPr>
          <w:p w14:paraId="109138E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national law contain norms that prohibit throttling of services or content provided online?</w:t>
            </w:r>
          </w:p>
          <w:p w14:paraId="2E4122DB"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13E2E7B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determines the degree to which a country’s net neutrality norms prevent throttling, one of the key components of a robust net neutrality framework</w:t>
            </w:r>
          </w:p>
        </w:tc>
        <w:tc>
          <w:tcPr>
            <w:tcW w:w="635" w:type="dxa"/>
            <w:tcBorders>
              <w:top w:val="single" w:sz="18" w:space="0" w:color="000000"/>
              <w:bottom w:val="single" w:sz="18" w:space="0" w:color="000000"/>
            </w:tcBorders>
          </w:tcPr>
          <w:p w14:paraId="02E09EF2"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7E3E4B41" w14:textId="37D1AD4D" w:rsidR="00904FBA" w:rsidRPr="00165CD4" w:rsidRDefault="00165CD4">
            <w:pPr>
              <w:pBdr>
                <w:top w:val="nil"/>
                <w:left w:val="nil"/>
                <w:bottom w:val="nil"/>
                <w:right w:val="nil"/>
                <w:between w:val="nil"/>
              </w:pBdr>
              <w:spacing w:before="120" w:after="0" w:line="240" w:lineRule="auto"/>
              <w:rPr>
                <w:rFonts w:asciiTheme="minorHAnsi" w:eastAsia="Adobe Caslon Pro" w:hAnsiTheme="minorHAnsi" w:cs="Adobe Caslon Pro"/>
                <w:color w:val="000000"/>
                <w:lang w:val="hy-AM"/>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36D9F64D"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62CAB1ED"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0AD34318" w14:textId="77777777" w:rsidTr="001E55D8">
        <w:tc>
          <w:tcPr>
            <w:tcW w:w="3331" w:type="dxa"/>
            <w:tcBorders>
              <w:top w:val="single" w:sz="18" w:space="0" w:color="000000"/>
              <w:bottom w:val="single" w:sz="18" w:space="0" w:color="000000"/>
            </w:tcBorders>
          </w:tcPr>
          <w:p w14:paraId="6FFD985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national law contain norms that prohibit zero-rating and/or paid prioritization?</w:t>
            </w:r>
          </w:p>
          <w:p w14:paraId="6ECB19AC"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00A4DF4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determines the degree to which a country’s net neutrality norms prevent zero-rating (of which paid prioritization is a common form), one of the key components of a robust net neutrality framework</w:t>
            </w:r>
          </w:p>
        </w:tc>
        <w:tc>
          <w:tcPr>
            <w:tcW w:w="635" w:type="dxa"/>
            <w:tcBorders>
              <w:top w:val="single" w:sz="18" w:space="0" w:color="000000"/>
              <w:bottom w:val="single" w:sz="18" w:space="0" w:color="000000"/>
            </w:tcBorders>
          </w:tcPr>
          <w:p w14:paraId="5016BA7A"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12FCB4B0" w14:textId="6C3E2EE8" w:rsidR="00904FBA" w:rsidRDefault="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03AC8521"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0C7BF784"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465E8370" w14:textId="77777777" w:rsidTr="001E55D8">
        <w:tc>
          <w:tcPr>
            <w:tcW w:w="3331" w:type="dxa"/>
            <w:tcBorders>
              <w:top w:val="single" w:sz="18" w:space="0" w:color="000000"/>
              <w:bottom w:val="single" w:sz="18" w:space="0" w:color="000000"/>
            </w:tcBorders>
          </w:tcPr>
          <w:p w14:paraId="65C1B5C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Where net neutrality is protected by law, does the legal framework recognize any exceptions, e.g. for reasonable network management?</w:t>
            </w:r>
          </w:p>
          <w:p w14:paraId="536766C3"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40DE2E0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establishes when reasonable limits are placed on net neutrality protections versus other limits that may undermine its effectiveness.</w:t>
            </w:r>
          </w:p>
        </w:tc>
        <w:tc>
          <w:tcPr>
            <w:tcW w:w="635" w:type="dxa"/>
            <w:tcBorders>
              <w:top w:val="single" w:sz="18" w:space="0" w:color="000000"/>
              <w:bottom w:val="single" w:sz="18" w:space="0" w:color="000000"/>
            </w:tcBorders>
          </w:tcPr>
          <w:p w14:paraId="26982DDD"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37244C08" w14:textId="4696989C" w:rsidR="00904FBA" w:rsidRDefault="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06859318"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4D68BE6F"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62135366" w14:textId="77777777" w:rsidTr="001E55D8">
        <w:tc>
          <w:tcPr>
            <w:tcW w:w="3331" w:type="dxa"/>
            <w:tcBorders>
              <w:top w:val="single" w:sz="18" w:space="0" w:color="000000"/>
              <w:bottom w:val="single" w:sz="18" w:space="0" w:color="000000"/>
            </w:tcBorders>
          </w:tcPr>
          <w:p w14:paraId="32E534B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paid prioritization take place despite norms that prohibit or limit zero-rating?</w:t>
            </w:r>
          </w:p>
          <w:p w14:paraId="1E24C9FE"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0465E9D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aims to flesh out the extent to which paid prioritization occurs in practice despite its prohibition in law; a number of countries with ostensibly strong zero-rating protections experience this phenomenon. This indicator may shed light on the degree of difference between law and practices on the ground</w:t>
            </w:r>
          </w:p>
        </w:tc>
        <w:tc>
          <w:tcPr>
            <w:tcW w:w="635" w:type="dxa"/>
            <w:tcBorders>
              <w:top w:val="single" w:sz="18" w:space="0" w:color="000000"/>
              <w:bottom w:val="single" w:sz="18" w:space="0" w:color="000000"/>
            </w:tcBorders>
          </w:tcPr>
          <w:p w14:paraId="54C9C642" w14:textId="35E8C264" w:rsidR="00904FBA" w:rsidRPr="001B5CA5" w:rsidRDefault="001B5CA5">
            <w:pPr>
              <w:pBdr>
                <w:top w:val="nil"/>
                <w:left w:val="nil"/>
                <w:bottom w:val="nil"/>
                <w:right w:val="nil"/>
                <w:between w:val="nil"/>
              </w:pBdr>
              <w:spacing w:before="120" w:after="0" w:line="240" w:lineRule="auto"/>
              <w:rPr>
                <w:rFonts w:asciiTheme="minorHAnsi" w:eastAsia="Adobe Caslon Pro" w:hAnsiTheme="minorHAnsi" w:cs="Adobe Caslon Pro"/>
                <w:color w:val="000000"/>
              </w:rPr>
            </w:pPr>
            <w:r>
              <w:rPr>
                <w:rFonts w:asciiTheme="minorHAnsi" w:eastAsia="Adobe Caslon Pro" w:hAnsiTheme="minorHAnsi" w:cs="Adobe Caslon Pro"/>
                <w:color w:val="000000"/>
              </w:rPr>
              <w:t>0.5</w:t>
            </w:r>
          </w:p>
        </w:tc>
        <w:tc>
          <w:tcPr>
            <w:tcW w:w="572" w:type="dxa"/>
            <w:tcBorders>
              <w:top w:val="single" w:sz="18" w:space="0" w:color="000000"/>
              <w:bottom w:val="single" w:sz="18" w:space="0" w:color="000000"/>
            </w:tcBorders>
          </w:tcPr>
          <w:p w14:paraId="5BC7BF4C"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4" w:type="dxa"/>
            <w:gridSpan w:val="2"/>
            <w:tcBorders>
              <w:top w:val="single" w:sz="18" w:space="0" w:color="000000"/>
              <w:bottom w:val="single" w:sz="18" w:space="0" w:color="000000"/>
            </w:tcBorders>
          </w:tcPr>
          <w:p w14:paraId="1902A0FA"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14E64C8C"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28B3B20D" w14:textId="77777777" w:rsidTr="001E55D8">
        <w:tc>
          <w:tcPr>
            <w:tcW w:w="3331" w:type="dxa"/>
            <w:tcBorders>
              <w:top w:val="single" w:sz="18" w:space="0" w:color="000000"/>
              <w:bottom w:val="single" w:sz="18" w:space="0" w:color="000000"/>
            </w:tcBorders>
          </w:tcPr>
          <w:p w14:paraId="1A736745"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Do other forms of zero-rating take place despite said limitations?</w:t>
            </w:r>
          </w:p>
          <w:p w14:paraId="584D752B"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2E94C7D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Same as above</w:t>
            </w:r>
          </w:p>
        </w:tc>
        <w:tc>
          <w:tcPr>
            <w:tcW w:w="635" w:type="dxa"/>
            <w:tcBorders>
              <w:top w:val="single" w:sz="18" w:space="0" w:color="000000"/>
              <w:bottom w:val="single" w:sz="18" w:space="0" w:color="000000"/>
            </w:tcBorders>
          </w:tcPr>
          <w:p w14:paraId="1CC2648F" w14:textId="39D8A35F"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68988E4D" w14:textId="70E96FC5" w:rsidR="00904FBA" w:rsidRDefault="00165CD4">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3F97FD55"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44DE8C28"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584FD233" w14:textId="77777777" w:rsidTr="001E55D8">
        <w:tc>
          <w:tcPr>
            <w:tcW w:w="3331" w:type="dxa"/>
            <w:tcBorders>
              <w:top w:val="single" w:sz="18" w:space="0" w:color="000000"/>
              <w:bottom w:val="single" w:sz="18" w:space="0" w:color="000000"/>
            </w:tcBorders>
          </w:tcPr>
          <w:p w14:paraId="10C2563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 blocking and/or throttling take place despite the existence of norms that prohibit such practices?</w:t>
            </w:r>
          </w:p>
          <w:p w14:paraId="0A717BDB"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3EA9432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seeks to determine how the legal framework in place to protect net neutrality operates in practice with respect to blocking and throttling </w:t>
            </w:r>
          </w:p>
        </w:tc>
        <w:tc>
          <w:tcPr>
            <w:tcW w:w="635" w:type="dxa"/>
            <w:tcBorders>
              <w:top w:val="single" w:sz="18" w:space="0" w:color="000000"/>
              <w:bottom w:val="single" w:sz="18" w:space="0" w:color="000000"/>
            </w:tcBorders>
          </w:tcPr>
          <w:p w14:paraId="7E82B4D0" w14:textId="10C004B4"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572" w:type="dxa"/>
            <w:tcBorders>
              <w:top w:val="single" w:sz="18" w:space="0" w:color="000000"/>
              <w:bottom w:val="single" w:sz="18" w:space="0" w:color="000000"/>
            </w:tcBorders>
          </w:tcPr>
          <w:p w14:paraId="775F9ADA"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4" w:type="dxa"/>
            <w:gridSpan w:val="2"/>
            <w:tcBorders>
              <w:top w:val="single" w:sz="18" w:space="0" w:color="000000"/>
              <w:bottom w:val="single" w:sz="18" w:space="0" w:color="000000"/>
            </w:tcBorders>
          </w:tcPr>
          <w:p w14:paraId="29C490D0"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74F43986"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0529407C" w14:textId="77777777" w:rsidTr="001E55D8">
        <w:tc>
          <w:tcPr>
            <w:tcW w:w="3331" w:type="dxa"/>
            <w:tcBorders>
              <w:top w:val="single" w:sz="18" w:space="0" w:color="000000"/>
              <w:bottom w:val="single" w:sz="18" w:space="0" w:color="000000"/>
            </w:tcBorders>
          </w:tcPr>
          <w:p w14:paraId="093FC69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there regulatory or other entities charged with monitoring and enforcing net neutrality protections?</w:t>
            </w:r>
          </w:p>
          <w:p w14:paraId="6EB192EC"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2D5E574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highlights whether there are authorities charged with enforcing net neutrality protections </w:t>
            </w:r>
          </w:p>
        </w:tc>
        <w:tc>
          <w:tcPr>
            <w:tcW w:w="635" w:type="dxa"/>
            <w:tcBorders>
              <w:top w:val="single" w:sz="18" w:space="0" w:color="000000"/>
              <w:bottom w:val="single" w:sz="18" w:space="0" w:color="000000"/>
            </w:tcBorders>
          </w:tcPr>
          <w:p w14:paraId="174810A6"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42B36474" w14:textId="44159C75"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7721A029"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600A45EB"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2B3CC7FB" w14:textId="77777777" w:rsidTr="001E55D8">
        <w:trPr>
          <w:trHeight w:val="962"/>
        </w:trPr>
        <w:tc>
          <w:tcPr>
            <w:tcW w:w="3331" w:type="dxa"/>
            <w:tcBorders>
              <w:top w:val="single" w:sz="18" w:space="0" w:color="000000"/>
              <w:bottom w:val="single" w:sz="18" w:space="0" w:color="000000"/>
            </w:tcBorders>
          </w:tcPr>
          <w:p w14:paraId="1A9B8F0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Have sanctions been imposed for violations of net neutrality protections where these exist?</w:t>
            </w:r>
          </w:p>
          <w:p w14:paraId="5CCB6319"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3573" w:type="dxa"/>
            <w:tcBorders>
              <w:top w:val="single" w:sz="18" w:space="0" w:color="000000"/>
              <w:bottom w:val="single" w:sz="18" w:space="0" w:color="000000"/>
            </w:tcBorders>
          </w:tcPr>
          <w:p w14:paraId="01A5A89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may illustrate the extent to which violations of net neutrality norms are taken seriously as a matter of rule of law and political will</w:t>
            </w:r>
          </w:p>
        </w:tc>
        <w:tc>
          <w:tcPr>
            <w:tcW w:w="635" w:type="dxa"/>
            <w:tcBorders>
              <w:top w:val="single" w:sz="18" w:space="0" w:color="000000"/>
              <w:bottom w:val="single" w:sz="18" w:space="0" w:color="000000"/>
            </w:tcBorders>
          </w:tcPr>
          <w:p w14:paraId="4B40D7DC"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11A5DF34" w14:textId="41F8F87D"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23708963"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2F5356FC"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4945C671" w14:textId="77777777" w:rsidTr="001E55D8">
        <w:tc>
          <w:tcPr>
            <w:tcW w:w="3331" w:type="dxa"/>
            <w:tcBorders>
              <w:top w:val="single" w:sz="18" w:space="0" w:color="000000"/>
              <w:bottom w:val="single" w:sz="18" w:space="0" w:color="000000"/>
            </w:tcBorders>
          </w:tcPr>
          <w:p w14:paraId="55D0B82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 enforcement mechanisms in place to identify and respond to net neutrality violations viewed as effective?</w:t>
            </w:r>
          </w:p>
        </w:tc>
        <w:tc>
          <w:tcPr>
            <w:tcW w:w="3573" w:type="dxa"/>
            <w:tcBorders>
              <w:top w:val="single" w:sz="18" w:space="0" w:color="000000"/>
              <w:bottom w:val="single" w:sz="18" w:space="0" w:color="000000"/>
            </w:tcBorders>
          </w:tcPr>
          <w:p w14:paraId="4334C2E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shows the extent to which net neutrality norms actually achieve their goals </w:t>
            </w:r>
          </w:p>
        </w:tc>
        <w:tc>
          <w:tcPr>
            <w:tcW w:w="635" w:type="dxa"/>
            <w:tcBorders>
              <w:top w:val="single" w:sz="18" w:space="0" w:color="000000"/>
              <w:bottom w:val="single" w:sz="18" w:space="0" w:color="000000"/>
            </w:tcBorders>
          </w:tcPr>
          <w:p w14:paraId="5A26B804"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572" w:type="dxa"/>
            <w:tcBorders>
              <w:top w:val="single" w:sz="18" w:space="0" w:color="000000"/>
              <w:bottom w:val="single" w:sz="18" w:space="0" w:color="000000"/>
            </w:tcBorders>
          </w:tcPr>
          <w:p w14:paraId="1A6E5AF4" w14:textId="4AD2AFD1"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No</w:t>
            </w:r>
          </w:p>
        </w:tc>
        <w:tc>
          <w:tcPr>
            <w:tcW w:w="614" w:type="dxa"/>
            <w:gridSpan w:val="2"/>
            <w:tcBorders>
              <w:top w:val="single" w:sz="18" w:space="0" w:color="000000"/>
              <w:bottom w:val="single" w:sz="18" w:space="0" w:color="000000"/>
            </w:tcBorders>
          </w:tcPr>
          <w:p w14:paraId="16A412E4"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11" w:type="dxa"/>
            <w:gridSpan w:val="2"/>
            <w:tcBorders>
              <w:top w:val="single" w:sz="18" w:space="0" w:color="000000"/>
              <w:bottom w:val="single" w:sz="18" w:space="0" w:color="000000"/>
              <w:right w:val="single" w:sz="4" w:space="0" w:color="000000"/>
            </w:tcBorders>
          </w:tcPr>
          <w:p w14:paraId="2F757CE9"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r>
      <w:tr w:rsidR="00904FBA" w14:paraId="37CC07E2" w14:textId="77777777" w:rsidTr="001E55D8">
        <w:trPr>
          <w:gridAfter w:val="1"/>
          <w:wAfter w:w="15" w:type="dxa"/>
        </w:trPr>
        <w:tc>
          <w:tcPr>
            <w:tcW w:w="3331" w:type="dxa"/>
            <w:tcBorders>
              <w:top w:val="single" w:sz="18" w:space="0" w:color="000000"/>
            </w:tcBorders>
          </w:tcPr>
          <w:p w14:paraId="14DAC80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Total </w:t>
            </w:r>
          </w:p>
        </w:tc>
        <w:tc>
          <w:tcPr>
            <w:tcW w:w="3573" w:type="dxa"/>
            <w:tcBorders>
              <w:top w:val="single" w:sz="18" w:space="0" w:color="000000"/>
            </w:tcBorders>
          </w:tcPr>
          <w:p w14:paraId="28395CE3"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35" w:type="dxa"/>
            <w:tcBorders>
              <w:top w:val="single" w:sz="18" w:space="0" w:color="000000"/>
            </w:tcBorders>
          </w:tcPr>
          <w:p w14:paraId="3BAD32DA" w14:textId="0D7532CD" w:rsidR="00904FBA"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93" w:type="dxa"/>
            <w:gridSpan w:val="2"/>
            <w:tcBorders>
              <w:top w:val="single" w:sz="18" w:space="0" w:color="000000"/>
            </w:tcBorders>
          </w:tcPr>
          <w:p w14:paraId="7E84AC7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93" w:type="dxa"/>
            <w:tcBorders>
              <w:top w:val="single" w:sz="18" w:space="0" w:color="000000"/>
            </w:tcBorders>
          </w:tcPr>
          <w:p w14:paraId="42DA025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96" w:type="dxa"/>
            <w:tcBorders>
              <w:top w:val="single" w:sz="18" w:space="0" w:color="000000"/>
            </w:tcBorders>
          </w:tcPr>
          <w:p w14:paraId="40988FA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29573980" w14:textId="77777777" w:rsidR="00904FBA" w:rsidRDefault="00126021">
      <w:pPr>
        <w:spacing w:before="120" w:after="0" w:line="240" w:lineRule="auto"/>
        <w:rPr>
          <w:rFonts w:ascii="Adobe Caslon Pro" w:eastAsia="Adobe Caslon Pro" w:hAnsi="Adobe Caslon Pro" w:cs="Adobe Caslon Pro"/>
        </w:rPr>
      </w:pPr>
      <w:r>
        <w:br w:type="page"/>
      </w:r>
    </w:p>
    <w:p w14:paraId="1245B985"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lastRenderedPageBreak/>
        <w:t xml:space="preserve">II.2 </w:t>
      </w:r>
      <w:r>
        <w:rPr>
          <w:rFonts w:ascii="Adobe Caslon Pro" w:eastAsia="Adobe Caslon Pro" w:hAnsi="Adobe Caslon Pro" w:cs="Adobe Caslon Pro"/>
          <w:b/>
          <w:sz w:val="24"/>
          <w:szCs w:val="24"/>
        </w:rPr>
        <w:tab/>
        <w:t>Regulatory safeguards against high degree of cross-ownership</w:t>
      </w:r>
    </w:p>
    <w:p w14:paraId="17EAEAE0" w14:textId="77777777" w:rsidR="00904FBA" w:rsidRDefault="00904FBA">
      <w:pPr>
        <w:spacing w:before="120" w:after="0" w:line="240" w:lineRule="auto"/>
        <w:rPr>
          <w:rFonts w:ascii="Adobe Caslon Pro" w:eastAsia="Adobe Caslon Pro" w:hAnsi="Adobe Caslon Pro" w:cs="Adobe Caslon Pro"/>
        </w:rPr>
      </w:pPr>
    </w:p>
    <w:tbl>
      <w:tblPr>
        <w:tblStyle w:val="a5"/>
        <w:tblW w:w="9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5"/>
        <w:gridCol w:w="3260"/>
        <w:gridCol w:w="992"/>
        <w:gridCol w:w="851"/>
        <w:gridCol w:w="677"/>
        <w:gridCol w:w="519"/>
      </w:tblGrid>
      <w:tr w:rsidR="00904FBA" w14:paraId="5B64CD35" w14:textId="77777777" w:rsidTr="001B5CA5">
        <w:tc>
          <w:tcPr>
            <w:tcW w:w="3395" w:type="dxa"/>
            <w:shd w:val="clear" w:color="auto" w:fill="D9D9D9"/>
          </w:tcPr>
          <w:p w14:paraId="2A4158C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smallCaps/>
                <w:color w:val="000000"/>
              </w:rPr>
              <w:t>CROSS-MEDIA OWNERSHIP</w:t>
            </w:r>
          </w:p>
        </w:tc>
        <w:tc>
          <w:tcPr>
            <w:tcW w:w="3260" w:type="dxa"/>
            <w:shd w:val="clear" w:color="auto" w:fill="D9D9D9"/>
          </w:tcPr>
          <w:p w14:paraId="27F6EBF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992" w:type="dxa"/>
            <w:shd w:val="clear" w:color="auto" w:fill="D9D9D9"/>
          </w:tcPr>
          <w:p w14:paraId="46C6FBE8"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5ABACE5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851" w:type="dxa"/>
            <w:shd w:val="clear" w:color="auto" w:fill="D9D9D9"/>
          </w:tcPr>
          <w:p w14:paraId="4B89EDDD"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05771B7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77" w:type="dxa"/>
            <w:shd w:val="clear" w:color="auto" w:fill="D9D9D9"/>
          </w:tcPr>
          <w:p w14:paraId="45657873"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519" w:type="dxa"/>
            <w:shd w:val="clear" w:color="auto" w:fill="D9D9D9"/>
          </w:tcPr>
          <w:p w14:paraId="60CAB3E9"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r>
      <w:tr w:rsidR="00904FBA" w14:paraId="4C68ABCF" w14:textId="77777777" w:rsidTr="001B5CA5">
        <w:tc>
          <w:tcPr>
            <w:tcW w:w="3395" w:type="dxa"/>
            <w:tcBorders>
              <w:bottom w:val="single" w:sz="18" w:space="0" w:color="000000"/>
            </w:tcBorders>
          </w:tcPr>
          <w:p w14:paraId="452142B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media legislation contain specific thresholds, based on objective criteria, such as number of licences, audience share, circulation, distribution of share capital or voting rights, turnover/revenue, to prevent a high degree of cross-ownership between the different media?</w:t>
            </w:r>
          </w:p>
        </w:tc>
        <w:tc>
          <w:tcPr>
            <w:tcW w:w="3260" w:type="dxa"/>
            <w:tcBorders>
              <w:bottom w:val="single" w:sz="18" w:space="0" w:color="000000"/>
            </w:tcBorders>
          </w:tcPr>
          <w:p w14:paraId="280A60B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indicator aims to assess the existence of regulatory safeguards (sector-specific and/or competition law) against a high degree of cross-ownership in different media sectors.</w:t>
            </w:r>
          </w:p>
        </w:tc>
        <w:tc>
          <w:tcPr>
            <w:tcW w:w="992" w:type="dxa"/>
            <w:tcBorders>
              <w:bottom w:val="single" w:sz="18" w:space="0" w:color="000000"/>
            </w:tcBorders>
          </w:tcPr>
          <w:p w14:paraId="312D49B0" w14:textId="0770F029" w:rsidR="00904FBA"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851" w:type="dxa"/>
            <w:tcBorders>
              <w:bottom w:val="single" w:sz="18" w:space="0" w:color="000000"/>
            </w:tcBorders>
          </w:tcPr>
          <w:p w14:paraId="3170AC6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77" w:type="dxa"/>
            <w:tcBorders>
              <w:bottom w:val="single" w:sz="18" w:space="0" w:color="000000"/>
            </w:tcBorders>
          </w:tcPr>
          <w:p w14:paraId="4A9369A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bottom w:val="single" w:sz="18" w:space="0" w:color="000000"/>
            </w:tcBorders>
          </w:tcPr>
          <w:p w14:paraId="1448EAE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2DB57D24" w14:textId="77777777" w:rsidTr="001B5CA5">
        <w:tc>
          <w:tcPr>
            <w:tcW w:w="3395" w:type="dxa"/>
          </w:tcPr>
          <w:p w14:paraId="669402C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these thresholds and/or hearing complaints? (e.g. media authority)</w:t>
            </w:r>
          </w:p>
        </w:tc>
        <w:tc>
          <w:tcPr>
            <w:tcW w:w="3260" w:type="dxa"/>
          </w:tcPr>
          <w:p w14:paraId="573AAF2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 for the regulation on audiovisual media concentration.</w:t>
            </w:r>
          </w:p>
        </w:tc>
        <w:tc>
          <w:tcPr>
            <w:tcW w:w="992" w:type="dxa"/>
          </w:tcPr>
          <w:p w14:paraId="015E73D7" w14:textId="12BA091F" w:rsidR="00904FBA"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851" w:type="dxa"/>
          </w:tcPr>
          <w:p w14:paraId="1F8EBE9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77" w:type="dxa"/>
          </w:tcPr>
          <w:p w14:paraId="4231BB1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Pr>
          <w:p w14:paraId="08E3FEE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30AA5905" w14:textId="77777777" w:rsidTr="001B5CA5">
        <w:tc>
          <w:tcPr>
            <w:tcW w:w="3395" w:type="dxa"/>
          </w:tcPr>
          <w:p w14:paraId="268E9689" w14:textId="1A839BE0"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body sanctioning/enforcement powers in order to impose proportionate 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3260" w:type="dxa"/>
          </w:tcPr>
          <w:p w14:paraId="4731D20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The variable aims at assessing if the law is providing a due system of sanctions to sector-specific regulation, such as: </w:t>
            </w:r>
          </w:p>
          <w:p w14:paraId="5D53ECC0"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Refusal of additional licences;</w:t>
            </w:r>
          </w:p>
          <w:p w14:paraId="77AE6C25"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Blocking of a merger or acquisition; </w:t>
            </w:r>
          </w:p>
          <w:p w14:paraId="7977C4F1"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02CB5B59"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give up licences/activities in other media sectors </w:t>
            </w:r>
          </w:p>
          <w:p w14:paraId="4E7C1A4E"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divestiture.</w:t>
            </w:r>
          </w:p>
        </w:tc>
        <w:tc>
          <w:tcPr>
            <w:tcW w:w="992" w:type="dxa"/>
          </w:tcPr>
          <w:p w14:paraId="0A0A0C4A" w14:textId="05FCB4E5" w:rsidR="00904FBA"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851" w:type="dxa"/>
          </w:tcPr>
          <w:p w14:paraId="3E86373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77" w:type="dxa"/>
          </w:tcPr>
          <w:p w14:paraId="3E012BF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Pr>
          <w:p w14:paraId="4E01A88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1DADBC4F" w14:textId="77777777" w:rsidTr="001B5CA5">
        <w:tc>
          <w:tcPr>
            <w:tcW w:w="3395" w:type="dxa"/>
            <w:tcBorders>
              <w:top w:val="single" w:sz="18" w:space="0" w:color="000000"/>
              <w:bottom w:val="single" w:sz="18" w:space="0" w:color="000000"/>
            </w:tcBorders>
            <w:shd w:val="clear" w:color="auto" w:fill="F2F2F2"/>
          </w:tcPr>
          <w:p w14:paraId="1225EDD6"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3260" w:type="dxa"/>
            <w:tcBorders>
              <w:top w:val="single" w:sz="18" w:space="0" w:color="000000"/>
              <w:bottom w:val="single" w:sz="18" w:space="0" w:color="000000"/>
            </w:tcBorders>
          </w:tcPr>
          <w:p w14:paraId="5421D62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the relevant authority never uses its sanctioning powers</w:t>
            </w:r>
          </w:p>
          <w:p w14:paraId="312069F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The question aims at assessing the effectiveness of the remedies provided by the regulation.</w:t>
            </w:r>
          </w:p>
        </w:tc>
        <w:tc>
          <w:tcPr>
            <w:tcW w:w="1843" w:type="dxa"/>
            <w:gridSpan w:val="2"/>
            <w:tcBorders>
              <w:top w:val="single" w:sz="18" w:space="0" w:color="000000"/>
              <w:bottom w:val="single" w:sz="18" w:space="0" w:color="000000"/>
            </w:tcBorders>
          </w:tcPr>
          <w:p w14:paraId="438EB2A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54687CC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 xml:space="preserve">Medium risk: the authority's powers are not always used in all the relevant </w:t>
            </w:r>
          </w:p>
          <w:p w14:paraId="4788669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b/>
                <w:color w:val="000000"/>
                <w:sz w:val="18"/>
                <w:szCs w:val="18"/>
              </w:rPr>
              <w:lastRenderedPageBreak/>
              <w:t>High risk: the relevant authority never uses its sanctioning powers</w:t>
            </w:r>
          </w:p>
        </w:tc>
        <w:tc>
          <w:tcPr>
            <w:tcW w:w="677" w:type="dxa"/>
            <w:tcBorders>
              <w:top w:val="single" w:sz="18" w:space="0" w:color="000000"/>
              <w:bottom w:val="single" w:sz="18" w:space="0" w:color="000000"/>
            </w:tcBorders>
          </w:tcPr>
          <w:p w14:paraId="68BF3D7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5283328" w14:textId="77777777"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6EC7238" w14:textId="77777777"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190AEB2A" w14:textId="77777777"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56D394F4" w14:textId="7B9E4623"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Medium</w:t>
            </w:r>
          </w:p>
        </w:tc>
        <w:tc>
          <w:tcPr>
            <w:tcW w:w="519" w:type="dxa"/>
            <w:tcBorders>
              <w:top w:val="single" w:sz="18" w:space="0" w:color="000000"/>
              <w:bottom w:val="single" w:sz="18" w:space="0" w:color="000000"/>
            </w:tcBorders>
          </w:tcPr>
          <w:p w14:paraId="0E062B0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1C1B57F7" w14:textId="77777777" w:rsidTr="001B5CA5">
        <w:tc>
          <w:tcPr>
            <w:tcW w:w="3395" w:type="dxa"/>
            <w:tcBorders>
              <w:top w:val="single" w:sz="18" w:space="0" w:color="000000"/>
              <w:bottom w:val="single" w:sz="18" w:space="0" w:color="000000"/>
            </w:tcBorders>
            <w:shd w:val="clear" w:color="auto" w:fill="F2F2F2"/>
          </w:tcPr>
          <w:p w14:paraId="2D1DD37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Can a high degree of cross-ownership between different media be prevented via merger control/competition rules that take into account the specificities of the media sector?</w:t>
            </w:r>
          </w:p>
        </w:tc>
        <w:tc>
          <w:tcPr>
            <w:tcW w:w="3260" w:type="dxa"/>
            <w:tcBorders>
              <w:top w:val="single" w:sz="18" w:space="0" w:color="000000"/>
              <w:bottom w:val="single" w:sz="18" w:space="0" w:color="000000"/>
            </w:tcBorders>
          </w:tcPr>
          <w:p w14:paraId="6C46D2AC" w14:textId="782E56FF"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For instance, cross-ownership can be prevented by </w:t>
            </w:r>
            <w:r w:rsidR="005345B5">
              <w:rPr>
                <w:rFonts w:ascii="Adobe Caslon Pro" w:eastAsia="Adobe Caslon Pro" w:hAnsi="Adobe Caslon Pro" w:cs="Adobe Caslon Pro"/>
                <w:color w:val="000000"/>
              </w:rPr>
              <w:t>completion</w:t>
            </w:r>
            <w:r>
              <w:rPr>
                <w:rFonts w:ascii="Adobe Caslon Pro" w:eastAsia="Adobe Caslon Pro" w:hAnsi="Adobe Caslon Pro" w:cs="Adobe Caslon Pro"/>
                <w:color w:val="000000"/>
              </w:rPr>
              <w:t xml:space="preserve"> law: </w:t>
            </w:r>
          </w:p>
          <w:p w14:paraId="740D0B2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by the mandatory intervention of a media authority in M&amp;A cases (for instance, the obligation for the competition authority to ask the advice of the media authority);</w:t>
            </w:r>
          </w:p>
          <w:p w14:paraId="33714B4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 - by the possibility to overrule the approval of a concentration by the competition authority for reasons of media pluralism (or Public interest in general);</w:t>
            </w:r>
          </w:p>
          <w:p w14:paraId="1C60DB1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 Even though the law does not contain media-specific provisions - it does not exclude the media sector from its scope of application</w:t>
            </w:r>
          </w:p>
        </w:tc>
        <w:tc>
          <w:tcPr>
            <w:tcW w:w="992" w:type="dxa"/>
            <w:tcBorders>
              <w:top w:val="single" w:sz="18" w:space="0" w:color="000000"/>
              <w:bottom w:val="single" w:sz="18" w:space="0" w:color="000000"/>
            </w:tcBorders>
          </w:tcPr>
          <w:p w14:paraId="4AC229CB" w14:textId="3494B0F2"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0.5</w:t>
            </w:r>
          </w:p>
        </w:tc>
        <w:tc>
          <w:tcPr>
            <w:tcW w:w="851" w:type="dxa"/>
            <w:tcBorders>
              <w:top w:val="single" w:sz="18" w:space="0" w:color="000000"/>
              <w:bottom w:val="single" w:sz="18" w:space="0" w:color="000000"/>
            </w:tcBorders>
          </w:tcPr>
          <w:p w14:paraId="15CA372D"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77" w:type="dxa"/>
            <w:tcBorders>
              <w:top w:val="single" w:sz="18" w:space="0" w:color="000000"/>
              <w:bottom w:val="single" w:sz="18" w:space="0" w:color="000000"/>
            </w:tcBorders>
          </w:tcPr>
          <w:p w14:paraId="09B3787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45203847" w14:textId="77777777" w:rsidR="00904FBA" w:rsidRDefault="00904FBA">
            <w:pPr>
              <w:spacing w:before="120" w:after="0" w:line="240" w:lineRule="auto"/>
              <w:rPr>
                <w:rFonts w:ascii="Adobe Caslon Pro" w:eastAsia="Adobe Caslon Pro" w:hAnsi="Adobe Caslon Pro" w:cs="Adobe Caslon Pro"/>
              </w:rPr>
            </w:pPr>
          </w:p>
          <w:p w14:paraId="001BE299" w14:textId="77777777" w:rsidR="00904FBA" w:rsidRDefault="00904FBA">
            <w:pPr>
              <w:spacing w:before="120" w:after="0" w:line="240" w:lineRule="auto"/>
              <w:rPr>
                <w:rFonts w:ascii="Adobe Caslon Pro" w:eastAsia="Adobe Caslon Pro" w:hAnsi="Adobe Caslon Pro" w:cs="Adobe Caslon Pro"/>
              </w:rPr>
            </w:pPr>
          </w:p>
          <w:p w14:paraId="48D0C326" w14:textId="77777777" w:rsidR="00904FBA" w:rsidRDefault="00904FBA">
            <w:pPr>
              <w:spacing w:before="120" w:after="0" w:line="240" w:lineRule="auto"/>
              <w:rPr>
                <w:rFonts w:ascii="Adobe Caslon Pro" w:eastAsia="Adobe Caslon Pro" w:hAnsi="Adobe Caslon Pro" w:cs="Adobe Caslon Pro"/>
              </w:rPr>
            </w:pPr>
          </w:p>
          <w:p w14:paraId="0BDB7229" w14:textId="77777777" w:rsidR="00904FBA" w:rsidRDefault="00904FBA">
            <w:pPr>
              <w:spacing w:before="120" w:after="0" w:line="240" w:lineRule="auto"/>
              <w:rPr>
                <w:rFonts w:ascii="Adobe Caslon Pro" w:eastAsia="Adobe Caslon Pro" w:hAnsi="Adobe Caslon Pro" w:cs="Adobe Caslon Pro"/>
              </w:rPr>
            </w:pPr>
          </w:p>
        </w:tc>
        <w:tc>
          <w:tcPr>
            <w:tcW w:w="519" w:type="dxa"/>
            <w:tcBorders>
              <w:top w:val="single" w:sz="18" w:space="0" w:color="000000"/>
              <w:bottom w:val="single" w:sz="18" w:space="0" w:color="000000"/>
            </w:tcBorders>
          </w:tcPr>
          <w:p w14:paraId="7CB7393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750D26D5" w14:textId="77777777" w:rsidTr="001B5CA5">
        <w:tc>
          <w:tcPr>
            <w:tcW w:w="3395" w:type="dxa"/>
            <w:tcBorders>
              <w:top w:val="single" w:sz="18" w:space="0" w:color="000000"/>
              <w:bottom w:val="single" w:sz="18" w:space="0" w:color="000000"/>
            </w:tcBorders>
            <w:shd w:val="clear" w:color="auto" w:fill="F2F2F2"/>
          </w:tcPr>
          <w:p w14:paraId="600A55C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authority or judicial body actively monitoring compliance with these rules and/or hearing complaints? (e.g. media and/or competition authority)</w:t>
            </w:r>
          </w:p>
        </w:tc>
        <w:tc>
          <w:tcPr>
            <w:tcW w:w="3260" w:type="dxa"/>
            <w:tcBorders>
              <w:top w:val="single" w:sz="18" w:space="0" w:color="000000"/>
              <w:bottom w:val="single" w:sz="18" w:space="0" w:color="000000"/>
            </w:tcBorders>
          </w:tcPr>
          <w:p w14:paraId="078A86B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variable aims to assess if the law/regulation provides a due monitoring and sanctioning system for the regulation against a high degree of cross-ownership in different media sectors via merger control/competition rules</w:t>
            </w:r>
          </w:p>
        </w:tc>
        <w:tc>
          <w:tcPr>
            <w:tcW w:w="992" w:type="dxa"/>
            <w:tcBorders>
              <w:top w:val="single" w:sz="18" w:space="0" w:color="000000"/>
              <w:bottom w:val="single" w:sz="18" w:space="0" w:color="000000"/>
            </w:tcBorders>
          </w:tcPr>
          <w:p w14:paraId="685F143D" w14:textId="475509C8"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851" w:type="dxa"/>
            <w:tcBorders>
              <w:top w:val="single" w:sz="18" w:space="0" w:color="000000"/>
              <w:bottom w:val="single" w:sz="18" w:space="0" w:color="000000"/>
            </w:tcBorders>
          </w:tcPr>
          <w:p w14:paraId="2298485F"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77" w:type="dxa"/>
            <w:tcBorders>
              <w:top w:val="single" w:sz="18" w:space="0" w:color="000000"/>
              <w:bottom w:val="single" w:sz="18" w:space="0" w:color="000000"/>
            </w:tcBorders>
          </w:tcPr>
          <w:p w14:paraId="471D20A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top w:val="single" w:sz="18" w:space="0" w:color="000000"/>
              <w:bottom w:val="single" w:sz="18" w:space="0" w:color="000000"/>
            </w:tcBorders>
          </w:tcPr>
          <w:p w14:paraId="437B879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350BAF6B" w14:textId="77777777" w:rsidTr="001B5CA5">
        <w:tc>
          <w:tcPr>
            <w:tcW w:w="3395" w:type="dxa"/>
            <w:tcBorders>
              <w:top w:val="single" w:sz="18" w:space="0" w:color="000000"/>
              <w:bottom w:val="single" w:sz="18" w:space="0" w:color="000000"/>
            </w:tcBorders>
            <w:shd w:val="clear" w:color="auto" w:fill="F2F2F2"/>
          </w:tcPr>
          <w:p w14:paraId="1497B311" w14:textId="50FEE132" w:rsidR="00904FBA" w:rsidRDefault="00126021">
            <w:pPr>
              <w:pBdr>
                <w:top w:val="nil"/>
                <w:left w:val="nil"/>
                <w:bottom w:val="nil"/>
                <w:right w:val="nil"/>
                <w:between w:val="nil"/>
              </w:pBdr>
              <w:tabs>
                <w:tab w:val="left" w:pos="1080"/>
              </w:tabs>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body sanctioning/enforcement powers in order to impose proportionate remedies (</w:t>
            </w:r>
            <w:r w:rsidR="005345B5">
              <w:rPr>
                <w:rFonts w:ascii="Adobe Caslon Pro" w:eastAsia="Adobe Caslon Pro" w:hAnsi="Adobe Caslon Pro" w:cs="Adobe Caslon Pro"/>
                <w:color w:val="000000"/>
              </w:rPr>
              <w:t>behavioral</w:t>
            </w:r>
            <w:r>
              <w:rPr>
                <w:rFonts w:ascii="Adobe Caslon Pro" w:eastAsia="Adobe Caslon Pro" w:hAnsi="Adobe Caslon Pro" w:cs="Adobe Caslon Pro"/>
                <w:color w:val="000000"/>
              </w:rPr>
              <w:t xml:space="preserve"> and/or structural) in case of non-respect of the thresholds?</w:t>
            </w:r>
          </w:p>
        </w:tc>
        <w:tc>
          <w:tcPr>
            <w:tcW w:w="3260" w:type="dxa"/>
            <w:tcBorders>
              <w:top w:val="single" w:sz="18" w:space="0" w:color="000000"/>
              <w:bottom w:val="single" w:sz="18" w:space="0" w:color="000000"/>
            </w:tcBorders>
          </w:tcPr>
          <w:p w14:paraId="1ABD460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Examples sanctioning/enforcement powers and remedies: </w:t>
            </w:r>
          </w:p>
          <w:p w14:paraId="6A35475F"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blocking of a merger or acquisition;</w:t>
            </w:r>
          </w:p>
          <w:p w14:paraId="190001DF"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obligation to allocate windows for third party programming; </w:t>
            </w:r>
          </w:p>
          <w:p w14:paraId="3054933E" w14:textId="479D79A6"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must </w:t>
            </w:r>
            <w:r w:rsidR="005345B5">
              <w:rPr>
                <w:rFonts w:ascii="Adobe Caslon Pro" w:eastAsia="Adobe Caslon Pro" w:hAnsi="Adobe Caslon Pro" w:cs="Adobe Caslon Pro"/>
                <w:color w:val="000000"/>
              </w:rPr>
              <w:t>carry obligation</w:t>
            </w:r>
            <w:r>
              <w:rPr>
                <w:rFonts w:ascii="Adobe Caslon Pro" w:eastAsia="Adobe Caslon Pro" w:hAnsi="Adobe Caslon Pro" w:cs="Adobe Caslon Pro"/>
                <w:color w:val="000000"/>
              </w:rPr>
              <w:t xml:space="preserve"> to give up licences/activities in other media sectors;</w:t>
            </w:r>
          </w:p>
          <w:p w14:paraId="37A17316" w14:textId="77777777" w:rsidR="00904FBA" w:rsidRDefault="00126021">
            <w:pPr>
              <w:numPr>
                <w:ilvl w:val="0"/>
                <w:numId w:val="5"/>
              </w:numPr>
              <w:pBdr>
                <w:top w:val="nil"/>
                <w:left w:val="nil"/>
                <w:bottom w:val="nil"/>
                <w:right w:val="nil"/>
                <w:between w:val="nil"/>
              </w:pBdr>
              <w:spacing w:after="0" w:line="240" w:lineRule="auto"/>
              <w:ind w:left="318" w:hanging="284"/>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divestiture.</w:t>
            </w:r>
          </w:p>
        </w:tc>
        <w:tc>
          <w:tcPr>
            <w:tcW w:w="992" w:type="dxa"/>
            <w:tcBorders>
              <w:top w:val="single" w:sz="18" w:space="0" w:color="000000"/>
              <w:bottom w:val="single" w:sz="18" w:space="0" w:color="000000"/>
            </w:tcBorders>
          </w:tcPr>
          <w:p w14:paraId="47C8EA5C" w14:textId="24651DA4" w:rsidR="00904FBA" w:rsidRDefault="001B5CA5">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1</w:t>
            </w:r>
          </w:p>
        </w:tc>
        <w:tc>
          <w:tcPr>
            <w:tcW w:w="851" w:type="dxa"/>
            <w:tcBorders>
              <w:top w:val="single" w:sz="18" w:space="0" w:color="000000"/>
              <w:bottom w:val="single" w:sz="18" w:space="0" w:color="000000"/>
            </w:tcBorders>
          </w:tcPr>
          <w:p w14:paraId="01D39D53"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677" w:type="dxa"/>
            <w:tcBorders>
              <w:top w:val="single" w:sz="18" w:space="0" w:color="000000"/>
              <w:bottom w:val="single" w:sz="18" w:space="0" w:color="000000"/>
            </w:tcBorders>
          </w:tcPr>
          <w:p w14:paraId="2E471AB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top w:val="single" w:sz="18" w:space="0" w:color="000000"/>
              <w:bottom w:val="single" w:sz="18" w:space="0" w:color="000000"/>
            </w:tcBorders>
          </w:tcPr>
          <w:p w14:paraId="78D8ED1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6DEEF468" w14:textId="77777777" w:rsidTr="001B5CA5">
        <w:tc>
          <w:tcPr>
            <w:tcW w:w="3395" w:type="dxa"/>
            <w:tcBorders>
              <w:top w:val="single" w:sz="18" w:space="0" w:color="000000"/>
              <w:bottom w:val="single" w:sz="18" w:space="0" w:color="000000"/>
            </w:tcBorders>
            <w:shd w:val="clear" w:color="auto" w:fill="F2F2F2"/>
          </w:tcPr>
          <w:p w14:paraId="1C557AA8" w14:textId="77777777" w:rsidR="00904FBA" w:rsidRDefault="00126021">
            <w:pPr>
              <w:pBdr>
                <w:top w:val="nil"/>
                <w:left w:val="nil"/>
                <w:bottom w:val="nil"/>
                <w:right w:val="nil"/>
                <w:between w:val="nil"/>
              </w:pBdr>
              <w:tabs>
                <w:tab w:val="left" w:pos="1080"/>
              </w:tabs>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these sanctioning/enforcement powers effectively used?</w:t>
            </w:r>
          </w:p>
        </w:tc>
        <w:tc>
          <w:tcPr>
            <w:tcW w:w="3260" w:type="dxa"/>
            <w:tcBorders>
              <w:top w:val="single" w:sz="18" w:space="0" w:color="000000"/>
              <w:bottom w:val="single" w:sz="18" w:space="0" w:color="000000"/>
            </w:tcBorders>
          </w:tcPr>
          <w:p w14:paraId="164F504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The question aims at assessing the effectiveness of the remedies of the regulation.</w:t>
            </w:r>
          </w:p>
        </w:tc>
        <w:tc>
          <w:tcPr>
            <w:tcW w:w="1843" w:type="dxa"/>
            <w:gridSpan w:val="2"/>
            <w:tcBorders>
              <w:top w:val="single" w:sz="18" w:space="0" w:color="000000"/>
              <w:bottom w:val="single" w:sz="18" w:space="0" w:color="000000"/>
            </w:tcBorders>
          </w:tcPr>
          <w:p w14:paraId="7BC6A38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Low risk: the relevant authority effectively uses its sanctioning powers in all the relevant cases</w:t>
            </w:r>
          </w:p>
          <w:p w14:paraId="0E7D658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Medium risk: the authority's powers are not always used in all the relevant cases</w:t>
            </w:r>
          </w:p>
          <w:p w14:paraId="7BAD28C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b/>
                <w:color w:val="000000"/>
                <w:sz w:val="18"/>
                <w:szCs w:val="18"/>
              </w:rPr>
              <w:t>High risk: the relevant authority never uses its sanctioning powers</w:t>
            </w:r>
          </w:p>
        </w:tc>
        <w:tc>
          <w:tcPr>
            <w:tcW w:w="677" w:type="dxa"/>
            <w:tcBorders>
              <w:top w:val="single" w:sz="18" w:space="0" w:color="000000"/>
              <w:bottom w:val="single" w:sz="18" w:space="0" w:color="000000"/>
            </w:tcBorders>
          </w:tcPr>
          <w:p w14:paraId="3A3592A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326A1051" w14:textId="77777777"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775A4EB7" w14:textId="77777777"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0A41FD6F" w14:textId="77777777"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p w14:paraId="3D029610" w14:textId="7772D623" w:rsidR="001B5CA5" w:rsidRDefault="001B5CA5">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Medium</w:t>
            </w:r>
          </w:p>
        </w:tc>
        <w:tc>
          <w:tcPr>
            <w:tcW w:w="519" w:type="dxa"/>
            <w:tcBorders>
              <w:top w:val="single" w:sz="18" w:space="0" w:color="000000"/>
              <w:bottom w:val="single" w:sz="18" w:space="0" w:color="000000"/>
            </w:tcBorders>
          </w:tcPr>
          <w:p w14:paraId="2743C52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343F3756" w14:textId="77777777" w:rsidTr="001B5CA5">
        <w:tc>
          <w:tcPr>
            <w:tcW w:w="3395" w:type="dxa"/>
            <w:tcBorders>
              <w:top w:val="single" w:sz="18" w:space="0" w:color="000000"/>
            </w:tcBorders>
          </w:tcPr>
          <w:p w14:paraId="03231D1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Total (Mean of L-e und L-I sub-indicators)</w:t>
            </w:r>
          </w:p>
        </w:tc>
        <w:tc>
          <w:tcPr>
            <w:tcW w:w="3260" w:type="dxa"/>
            <w:tcBorders>
              <w:top w:val="single" w:sz="18" w:space="0" w:color="000000"/>
            </w:tcBorders>
          </w:tcPr>
          <w:p w14:paraId="751EBC36"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992" w:type="dxa"/>
            <w:tcBorders>
              <w:top w:val="single" w:sz="18" w:space="0" w:color="000000"/>
            </w:tcBorders>
          </w:tcPr>
          <w:p w14:paraId="372755D0" w14:textId="4C673485" w:rsidR="00904FBA" w:rsidRPr="005E3406" w:rsidRDefault="001B5CA5">
            <w:pPr>
              <w:pBdr>
                <w:top w:val="nil"/>
                <w:left w:val="nil"/>
                <w:bottom w:val="nil"/>
                <w:right w:val="nil"/>
                <w:between w:val="nil"/>
              </w:pBdr>
              <w:spacing w:before="120" w:after="0" w:line="240" w:lineRule="auto"/>
              <w:jc w:val="center"/>
              <w:rPr>
                <w:rFonts w:asciiTheme="minorHAnsi" w:eastAsia="Adobe Caslon Pro" w:hAnsiTheme="minorHAnsi" w:cs="Adobe Caslon Pro"/>
                <w:color w:val="000000"/>
                <w:lang w:val="hy-AM"/>
              </w:rPr>
            </w:pPr>
            <w:r>
              <w:rPr>
                <w:rFonts w:ascii="Adobe Caslon Pro" w:eastAsia="Adobe Caslon Pro" w:hAnsi="Adobe Caslon Pro" w:cs="Adobe Caslon Pro"/>
                <w:color w:val="000000"/>
              </w:rPr>
              <w:t>5.5</w:t>
            </w:r>
          </w:p>
        </w:tc>
        <w:tc>
          <w:tcPr>
            <w:tcW w:w="851" w:type="dxa"/>
            <w:tcBorders>
              <w:top w:val="single" w:sz="18" w:space="0" w:color="000000"/>
            </w:tcBorders>
          </w:tcPr>
          <w:p w14:paraId="7B13D03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77" w:type="dxa"/>
            <w:tcBorders>
              <w:top w:val="single" w:sz="18" w:space="0" w:color="000000"/>
            </w:tcBorders>
          </w:tcPr>
          <w:p w14:paraId="4227F55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19" w:type="dxa"/>
            <w:tcBorders>
              <w:top w:val="single" w:sz="18" w:space="0" w:color="000000"/>
            </w:tcBorders>
          </w:tcPr>
          <w:p w14:paraId="11FD0F4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783AA858" w14:textId="77777777" w:rsidR="00904FBA" w:rsidRDefault="00904FBA">
      <w:pPr>
        <w:spacing w:before="120" w:after="0" w:line="240" w:lineRule="auto"/>
        <w:rPr>
          <w:rFonts w:ascii="Adobe Caslon Pro" w:eastAsia="Adobe Caslon Pro" w:hAnsi="Adobe Caslon Pro" w:cs="Adobe Caslon Pro"/>
        </w:rPr>
      </w:pPr>
    </w:p>
    <w:p w14:paraId="7D592A75" w14:textId="77777777" w:rsidR="00904FBA" w:rsidRDefault="00126021">
      <w:pPr>
        <w:spacing w:before="120" w:after="0" w:line="240" w:lineRule="auto"/>
        <w:rPr>
          <w:rFonts w:ascii="Adobe Caslon Pro" w:eastAsia="Adobe Caslon Pro" w:hAnsi="Adobe Caslon Pro" w:cs="Adobe Caslon Pro"/>
        </w:rPr>
      </w:pPr>
      <w:r>
        <w:br w:type="page"/>
      </w:r>
    </w:p>
    <w:p w14:paraId="60BEB952"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lastRenderedPageBreak/>
        <w:t>II.3</w:t>
      </w:r>
      <w:r>
        <w:rPr>
          <w:rFonts w:ascii="Adobe Caslon Pro" w:eastAsia="Adobe Caslon Pro" w:hAnsi="Adobe Caslon Pro" w:cs="Adobe Caslon Pro"/>
          <w:b/>
          <w:sz w:val="24"/>
          <w:szCs w:val="24"/>
        </w:rPr>
        <w:tab/>
        <w:t>Regulatory safeguards for transparency of ownership and/or control</w:t>
      </w:r>
    </w:p>
    <w:p w14:paraId="0FD87182" w14:textId="77777777" w:rsidR="00904FBA" w:rsidRDefault="00904FBA">
      <w:pPr>
        <w:spacing w:before="120" w:after="0" w:line="240" w:lineRule="auto"/>
        <w:rPr>
          <w:rFonts w:ascii="Adobe Caslon Pro" w:eastAsia="Adobe Caslon Pro" w:hAnsi="Adobe Caslon Pro" w:cs="Adobe Caslon Pro"/>
        </w:rPr>
      </w:pPr>
    </w:p>
    <w:tbl>
      <w:tblPr>
        <w:tblStyle w:val="a6"/>
        <w:tblW w:w="9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2693"/>
        <w:gridCol w:w="687"/>
        <w:gridCol w:w="501"/>
        <w:gridCol w:w="684"/>
        <w:gridCol w:w="611"/>
        <w:gridCol w:w="618"/>
      </w:tblGrid>
      <w:tr w:rsidR="00904FBA" w14:paraId="7F05FCB9" w14:textId="77777777" w:rsidTr="005E3406">
        <w:tc>
          <w:tcPr>
            <w:tcW w:w="3260" w:type="dxa"/>
            <w:shd w:val="clear" w:color="auto" w:fill="D9D9D9"/>
          </w:tcPr>
          <w:p w14:paraId="7D873F3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Transparency Provisions</w:t>
            </w:r>
          </w:p>
        </w:tc>
        <w:tc>
          <w:tcPr>
            <w:tcW w:w="2693" w:type="dxa"/>
            <w:shd w:val="clear" w:color="auto" w:fill="D9D9D9"/>
          </w:tcPr>
          <w:p w14:paraId="489153F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Description</w:t>
            </w:r>
          </w:p>
        </w:tc>
        <w:tc>
          <w:tcPr>
            <w:tcW w:w="687" w:type="dxa"/>
            <w:shd w:val="clear" w:color="auto" w:fill="D9D9D9"/>
          </w:tcPr>
          <w:p w14:paraId="0A4FC224"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30D79F85"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w:t>
            </w:r>
          </w:p>
        </w:tc>
        <w:tc>
          <w:tcPr>
            <w:tcW w:w="501" w:type="dxa"/>
            <w:shd w:val="clear" w:color="auto" w:fill="D9D9D9"/>
          </w:tcPr>
          <w:p w14:paraId="5B0F6CE2"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79D10373"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w:t>
            </w:r>
          </w:p>
        </w:tc>
        <w:tc>
          <w:tcPr>
            <w:tcW w:w="684" w:type="dxa"/>
            <w:shd w:val="clear" w:color="auto" w:fill="D9D9D9"/>
          </w:tcPr>
          <w:p w14:paraId="627E3B73"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611" w:type="dxa"/>
            <w:shd w:val="clear" w:color="auto" w:fill="D9D9D9"/>
          </w:tcPr>
          <w:p w14:paraId="1FBBA18A"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c>
          <w:tcPr>
            <w:tcW w:w="618" w:type="dxa"/>
            <w:shd w:val="clear" w:color="auto" w:fill="D9D9D9"/>
          </w:tcPr>
          <w:p w14:paraId="7C31012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70CF4B16" w14:textId="77777777" w:rsidTr="005E3406">
        <w:tc>
          <w:tcPr>
            <w:tcW w:w="3260" w:type="dxa"/>
          </w:tcPr>
          <w:p w14:paraId="23BD3108"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national (media, company, tax...) law contain transparency and disclosure provisions obliging media companies to publish their ownership structures on their website or in records/documents that are accessible to the public?</w:t>
            </w:r>
          </w:p>
        </w:tc>
        <w:tc>
          <w:tcPr>
            <w:tcW w:w="2693" w:type="dxa"/>
          </w:tcPr>
          <w:p w14:paraId="2C0EC21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The aim of the question is to check regulatory safeguard for transparency towards the citizens, the users and the public in general. </w:t>
            </w:r>
          </w:p>
        </w:tc>
        <w:tc>
          <w:tcPr>
            <w:tcW w:w="687" w:type="dxa"/>
          </w:tcPr>
          <w:p w14:paraId="4D37EEED" w14:textId="1FFBF370" w:rsidR="00904FBA" w:rsidRPr="005E3406" w:rsidRDefault="005E3406">
            <w:pPr>
              <w:pBdr>
                <w:top w:val="nil"/>
                <w:left w:val="nil"/>
                <w:bottom w:val="nil"/>
                <w:right w:val="nil"/>
                <w:between w:val="nil"/>
              </w:pBdr>
              <w:spacing w:before="120" w:after="0" w:line="240" w:lineRule="auto"/>
              <w:jc w:val="center"/>
              <w:rPr>
                <w:rFonts w:ascii="Times New Roman" w:eastAsia="Adobe Caslon Pro" w:hAnsi="Times New Roman" w:cs="Times New Roman"/>
                <w:color w:val="000000"/>
              </w:rPr>
            </w:pPr>
            <w:r>
              <w:rPr>
                <w:rFonts w:ascii="Times New Roman" w:eastAsia="Adobe Caslon Pro" w:hAnsi="Times New Roman" w:cs="Times New Roman"/>
                <w:color w:val="000000"/>
              </w:rPr>
              <w:t>1</w:t>
            </w:r>
          </w:p>
        </w:tc>
        <w:tc>
          <w:tcPr>
            <w:tcW w:w="501" w:type="dxa"/>
          </w:tcPr>
          <w:p w14:paraId="75D5D16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84" w:type="dxa"/>
          </w:tcPr>
          <w:p w14:paraId="26CEB44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62E6140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8" w:type="dxa"/>
            <w:vMerge w:val="restart"/>
          </w:tcPr>
          <w:p w14:paraId="2F9B3865"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Existence (E) </w:t>
            </w:r>
          </w:p>
        </w:tc>
      </w:tr>
      <w:tr w:rsidR="00904FBA" w14:paraId="2C24FC43" w14:textId="77777777" w:rsidTr="005E3406">
        <w:tc>
          <w:tcPr>
            <w:tcW w:w="3260" w:type="dxa"/>
          </w:tcPr>
          <w:p w14:paraId="5B80875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national (media, company, tax...) law contain transparency and disclosure provisions obliging media companies to report (changes in) ownership structures to public authorities (such as the media authority)?</w:t>
            </w:r>
          </w:p>
        </w:tc>
        <w:tc>
          <w:tcPr>
            <w:tcW w:w="2693" w:type="dxa"/>
          </w:tcPr>
          <w:p w14:paraId="6CD6356E"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The aim of the question is to check regulatory safeguard for accountability and transparency towards public authorities.</w:t>
            </w:r>
          </w:p>
        </w:tc>
        <w:tc>
          <w:tcPr>
            <w:tcW w:w="687" w:type="dxa"/>
          </w:tcPr>
          <w:p w14:paraId="70CCA8B5" w14:textId="1FB6C69D"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01" w:type="dxa"/>
          </w:tcPr>
          <w:p w14:paraId="7671096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84" w:type="dxa"/>
          </w:tcPr>
          <w:p w14:paraId="6981E88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37C1E9CB"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8" w:type="dxa"/>
            <w:vMerge/>
          </w:tcPr>
          <w:p w14:paraId="2532E26B"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399FE040" w14:textId="77777777" w:rsidTr="005E3406">
        <w:tc>
          <w:tcPr>
            <w:tcW w:w="3260" w:type="dxa"/>
          </w:tcPr>
          <w:p w14:paraId="21EE6491"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obligation by national law to disclose relevant information after every change in ownership structure?</w:t>
            </w:r>
          </w:p>
        </w:tc>
        <w:tc>
          <w:tcPr>
            <w:tcW w:w="2693" w:type="dxa"/>
          </w:tcPr>
          <w:p w14:paraId="5194DA6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aims at assessing if the law provides rules on the public availability of accurate and up-to-date data on media ownership. This is a condition for an effective transparency.</w:t>
            </w:r>
          </w:p>
        </w:tc>
        <w:tc>
          <w:tcPr>
            <w:tcW w:w="687" w:type="dxa"/>
          </w:tcPr>
          <w:p w14:paraId="568C79F0" w14:textId="41EE2DFB"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01" w:type="dxa"/>
          </w:tcPr>
          <w:p w14:paraId="662ECD1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84" w:type="dxa"/>
          </w:tcPr>
          <w:p w14:paraId="2C7E000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78D5151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8" w:type="dxa"/>
            <w:vMerge/>
          </w:tcPr>
          <w:p w14:paraId="219704CD"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3A7A3B71" w14:textId="77777777" w:rsidTr="005E3406">
        <w:tc>
          <w:tcPr>
            <w:tcW w:w="3260" w:type="dxa"/>
          </w:tcPr>
          <w:p w14:paraId="456ABE6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there any sanctions in case of non-respect of disclosure obligations?</w:t>
            </w:r>
          </w:p>
        </w:tc>
        <w:tc>
          <w:tcPr>
            <w:tcW w:w="2693" w:type="dxa"/>
          </w:tcPr>
          <w:p w14:paraId="2B18713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This question aims at assessing if the law on media ownership transparency can be enforced through the application of sanctions.</w:t>
            </w:r>
          </w:p>
        </w:tc>
        <w:tc>
          <w:tcPr>
            <w:tcW w:w="687" w:type="dxa"/>
          </w:tcPr>
          <w:p w14:paraId="63BCB428" w14:textId="6966D1D2"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01" w:type="dxa"/>
          </w:tcPr>
          <w:p w14:paraId="5958468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84" w:type="dxa"/>
          </w:tcPr>
          <w:p w14:paraId="2A97C89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1BF7579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8" w:type="dxa"/>
            <w:vMerge w:val="restart"/>
          </w:tcPr>
          <w:p w14:paraId="7AE83D07" w14:textId="77777777" w:rsidR="00904FBA" w:rsidRDefault="00126021">
            <w:pPr>
              <w:pBdr>
                <w:top w:val="nil"/>
                <w:left w:val="nil"/>
                <w:bottom w:val="nil"/>
                <w:right w:val="nil"/>
                <w:between w:val="nil"/>
              </w:pBdr>
              <w:spacing w:before="120" w:after="0" w:line="240" w:lineRule="auto"/>
              <w:ind w:left="113" w:right="113"/>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Effective Impleme</w:t>
            </w:r>
            <w:r>
              <w:rPr>
                <w:rFonts w:ascii="Adobe Caslon Pro" w:eastAsia="Adobe Caslon Pro" w:hAnsi="Adobe Caslon Pro" w:cs="Adobe Caslon Pro"/>
                <w:color w:val="000000"/>
              </w:rPr>
              <w:lastRenderedPageBreak/>
              <w:t>ntation (I)</w:t>
            </w:r>
          </w:p>
        </w:tc>
      </w:tr>
      <w:tr w:rsidR="00904FBA" w14:paraId="1DA71A44" w14:textId="77777777" w:rsidTr="005E3406">
        <w:tc>
          <w:tcPr>
            <w:tcW w:w="3260" w:type="dxa"/>
          </w:tcPr>
          <w:p w14:paraId="7E47284D"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 the obligations ensure that the public knows which legal or natural person effectively owns or controls the media company?</w:t>
            </w:r>
          </w:p>
        </w:tc>
        <w:tc>
          <w:tcPr>
            <w:tcW w:w="2693" w:type="dxa"/>
          </w:tcPr>
          <w:p w14:paraId="0AE2126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 xml:space="preserve">This question aim at assessing the effectiveness of the laws that deal with media ownership transparency and if they succeed in disclosing the real </w:t>
            </w:r>
            <w:r>
              <w:rPr>
                <w:rFonts w:ascii="Adobe Caslon Pro" w:eastAsia="Adobe Caslon Pro" w:hAnsi="Adobe Caslon Pro" w:cs="Adobe Caslon Pro"/>
                <w:color w:val="000000"/>
              </w:rPr>
              <w:lastRenderedPageBreak/>
              <w:t>owners of the media outlets.</w:t>
            </w:r>
          </w:p>
        </w:tc>
        <w:tc>
          <w:tcPr>
            <w:tcW w:w="1188" w:type="dxa"/>
            <w:gridSpan w:val="2"/>
          </w:tcPr>
          <w:p w14:paraId="1DE8B9C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lastRenderedPageBreak/>
              <w:t>Low Risk:</w:t>
            </w:r>
          </w:p>
          <w:p w14:paraId="042C08A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All the effective owners are known by the public</w:t>
            </w:r>
          </w:p>
          <w:p w14:paraId="285382DF"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Medium:</w:t>
            </w:r>
          </w:p>
          <w:p w14:paraId="26D066F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lastRenderedPageBreak/>
              <w:t>Some owners are still unknown</w:t>
            </w:r>
          </w:p>
          <w:p w14:paraId="240A4C2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b/>
                <w:color w:val="000000"/>
                <w:sz w:val="18"/>
                <w:szCs w:val="18"/>
              </w:rPr>
            </w:pPr>
            <w:r>
              <w:rPr>
                <w:rFonts w:ascii="Adobe Caslon Pro" w:eastAsia="Adobe Caslon Pro" w:hAnsi="Adobe Caslon Pro" w:cs="Adobe Caslon Pro"/>
                <w:b/>
                <w:color w:val="000000"/>
                <w:sz w:val="18"/>
                <w:szCs w:val="18"/>
              </w:rPr>
              <w:t>High Risk:</w:t>
            </w:r>
          </w:p>
          <w:p w14:paraId="3A1724E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b/>
                <w:color w:val="000000"/>
                <w:sz w:val="18"/>
                <w:szCs w:val="18"/>
              </w:rPr>
              <w:t>Effective owners are still hidden</w:t>
            </w:r>
          </w:p>
        </w:tc>
        <w:tc>
          <w:tcPr>
            <w:tcW w:w="684" w:type="dxa"/>
          </w:tcPr>
          <w:p w14:paraId="24F0152D" w14:textId="43CD8095"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Low</w:t>
            </w:r>
          </w:p>
        </w:tc>
        <w:tc>
          <w:tcPr>
            <w:tcW w:w="611" w:type="dxa"/>
          </w:tcPr>
          <w:p w14:paraId="296935F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8" w:type="dxa"/>
            <w:vMerge/>
          </w:tcPr>
          <w:p w14:paraId="44481DAC" w14:textId="77777777" w:rsidR="00904FBA" w:rsidRDefault="00904FBA">
            <w:pPr>
              <w:widowControl w:val="0"/>
              <w:pBdr>
                <w:top w:val="nil"/>
                <w:left w:val="nil"/>
                <w:bottom w:val="nil"/>
                <w:right w:val="nil"/>
                <w:between w:val="nil"/>
              </w:pBdr>
              <w:spacing w:after="0"/>
              <w:rPr>
                <w:rFonts w:ascii="Adobe Caslon Pro" w:eastAsia="Adobe Caslon Pro" w:hAnsi="Adobe Caslon Pro" w:cs="Adobe Caslon Pro"/>
                <w:color w:val="000000"/>
              </w:rPr>
            </w:pPr>
          </w:p>
        </w:tc>
      </w:tr>
      <w:tr w:rsidR="00904FBA" w14:paraId="639B488A" w14:textId="77777777" w:rsidTr="005E3406">
        <w:tc>
          <w:tcPr>
            <w:tcW w:w="3260" w:type="dxa"/>
          </w:tcPr>
          <w:p w14:paraId="2EA760D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Total (Mean of L-e und L-I sub-indicators)</w:t>
            </w:r>
          </w:p>
        </w:tc>
        <w:tc>
          <w:tcPr>
            <w:tcW w:w="2693" w:type="dxa"/>
          </w:tcPr>
          <w:p w14:paraId="663A2204" w14:textId="77777777" w:rsidR="00904FBA" w:rsidRDefault="00904FBA">
            <w:pPr>
              <w:pBdr>
                <w:top w:val="nil"/>
                <w:left w:val="nil"/>
                <w:bottom w:val="nil"/>
                <w:right w:val="nil"/>
                <w:between w:val="nil"/>
              </w:pBdr>
              <w:spacing w:before="120" w:after="0" w:line="240" w:lineRule="auto"/>
              <w:rPr>
                <w:rFonts w:ascii="Adobe Caslon Pro" w:eastAsia="Adobe Caslon Pro" w:hAnsi="Adobe Caslon Pro" w:cs="Adobe Caslon Pro"/>
                <w:color w:val="000000"/>
              </w:rPr>
            </w:pPr>
          </w:p>
        </w:tc>
        <w:tc>
          <w:tcPr>
            <w:tcW w:w="1188" w:type="dxa"/>
            <w:gridSpan w:val="2"/>
          </w:tcPr>
          <w:p w14:paraId="5F37E977" w14:textId="4058E8EA"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4</w:t>
            </w:r>
          </w:p>
        </w:tc>
        <w:tc>
          <w:tcPr>
            <w:tcW w:w="684" w:type="dxa"/>
          </w:tcPr>
          <w:p w14:paraId="7F04574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6495A2A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8" w:type="dxa"/>
          </w:tcPr>
          <w:p w14:paraId="5B8DA26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573AC626" w14:textId="77777777" w:rsidR="00904FBA" w:rsidRDefault="00904FBA">
      <w:pPr>
        <w:spacing w:before="120" w:after="0" w:line="240" w:lineRule="auto"/>
        <w:rPr>
          <w:rFonts w:ascii="Adobe Caslon Pro" w:eastAsia="Adobe Caslon Pro" w:hAnsi="Adobe Caslon Pro" w:cs="Adobe Caslon Pro"/>
        </w:rPr>
      </w:pPr>
    </w:p>
    <w:p w14:paraId="04D08EDA" w14:textId="77777777" w:rsidR="00904FBA" w:rsidRDefault="00126021">
      <w:pPr>
        <w:spacing w:after="0" w:line="240" w:lineRule="auto"/>
        <w:rPr>
          <w:rFonts w:ascii="Adobe Caslon Pro" w:eastAsia="Adobe Caslon Pro" w:hAnsi="Adobe Caslon Pro" w:cs="Adobe Caslon Pro"/>
          <w:b/>
          <w:sz w:val="24"/>
          <w:szCs w:val="24"/>
        </w:rPr>
      </w:pPr>
      <w:r>
        <w:br w:type="page"/>
      </w:r>
    </w:p>
    <w:p w14:paraId="5004FC03"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lastRenderedPageBreak/>
        <w:t xml:space="preserve">II.4 </w:t>
      </w:r>
      <w:r>
        <w:rPr>
          <w:rFonts w:ascii="Adobe Caslon Pro" w:eastAsia="Adobe Caslon Pro" w:hAnsi="Adobe Caslon Pro" w:cs="Adobe Caslon Pro"/>
          <w:b/>
          <w:sz w:val="24"/>
          <w:szCs w:val="24"/>
        </w:rPr>
        <w:tab/>
        <w:t xml:space="preserve">Regulatory Safeguards against political control over media and distribution networks ownership </w:t>
      </w:r>
    </w:p>
    <w:p w14:paraId="6A44EF7B" w14:textId="77777777" w:rsidR="00904FBA" w:rsidRDefault="00904FBA">
      <w:pPr>
        <w:spacing w:before="120" w:after="0" w:line="240" w:lineRule="auto"/>
        <w:rPr>
          <w:rFonts w:ascii="Adobe Caslon Pro" w:eastAsia="Adobe Caslon Pro" w:hAnsi="Adobe Caslon Pro" w:cs="Adobe Caslon Pro"/>
        </w:rPr>
      </w:pPr>
    </w:p>
    <w:tbl>
      <w:tblPr>
        <w:tblStyle w:val="a7"/>
        <w:tblW w:w="9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1"/>
        <w:gridCol w:w="567"/>
        <w:gridCol w:w="527"/>
        <w:gridCol w:w="555"/>
        <w:gridCol w:w="611"/>
      </w:tblGrid>
      <w:tr w:rsidR="00904FBA" w14:paraId="4D24B910" w14:textId="77777777">
        <w:tc>
          <w:tcPr>
            <w:tcW w:w="7171" w:type="dxa"/>
            <w:tcBorders>
              <w:bottom w:val="single" w:sz="18" w:space="0" w:color="000000"/>
            </w:tcBorders>
            <w:shd w:val="clear" w:color="auto" w:fill="F2F2F2"/>
          </w:tcPr>
          <w:p w14:paraId="71A42D34"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Ownership by politicians</w:t>
            </w:r>
          </w:p>
        </w:tc>
        <w:tc>
          <w:tcPr>
            <w:tcW w:w="567" w:type="dxa"/>
            <w:tcBorders>
              <w:bottom w:val="single" w:sz="18" w:space="0" w:color="000000"/>
            </w:tcBorders>
            <w:shd w:val="clear" w:color="auto" w:fill="F2F2F2"/>
          </w:tcPr>
          <w:p w14:paraId="426716D5"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07E3B56F"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w:t>
            </w:r>
          </w:p>
        </w:tc>
        <w:tc>
          <w:tcPr>
            <w:tcW w:w="527" w:type="dxa"/>
            <w:tcBorders>
              <w:bottom w:val="single" w:sz="18" w:space="0" w:color="000000"/>
            </w:tcBorders>
            <w:shd w:val="clear" w:color="auto" w:fill="F2F2F2"/>
          </w:tcPr>
          <w:p w14:paraId="45B424D0"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2AF50FF6"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w:t>
            </w:r>
          </w:p>
        </w:tc>
        <w:tc>
          <w:tcPr>
            <w:tcW w:w="555" w:type="dxa"/>
            <w:tcBorders>
              <w:bottom w:val="single" w:sz="18" w:space="0" w:color="000000"/>
            </w:tcBorders>
            <w:shd w:val="clear" w:color="auto" w:fill="F2F2F2"/>
          </w:tcPr>
          <w:p w14:paraId="16722663"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611" w:type="dxa"/>
            <w:tcBorders>
              <w:bottom w:val="single" w:sz="18" w:space="0" w:color="000000"/>
            </w:tcBorders>
            <w:shd w:val="clear" w:color="auto" w:fill="F2F2F2"/>
          </w:tcPr>
          <w:p w14:paraId="34376B86"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r>
      <w:tr w:rsidR="00904FBA" w14:paraId="1C5F4012" w14:textId="77777777">
        <w:tc>
          <w:tcPr>
            <w:tcW w:w="7171" w:type="dxa"/>
            <w:tcBorders>
              <w:top w:val="single" w:sz="18" w:space="0" w:color="000000"/>
            </w:tcBorders>
          </w:tcPr>
          <w:p w14:paraId="14DC7C4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any law contain limitations to direct and indirect ownership/control of mainstream media by politicians?</w:t>
            </w:r>
          </w:p>
        </w:tc>
        <w:tc>
          <w:tcPr>
            <w:tcW w:w="567" w:type="dxa"/>
            <w:tcBorders>
              <w:top w:val="single" w:sz="18" w:space="0" w:color="000000"/>
            </w:tcBorders>
          </w:tcPr>
          <w:p w14:paraId="69992F25" w14:textId="2DEC3F5C"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Borders>
              <w:top w:val="single" w:sz="18" w:space="0" w:color="000000"/>
            </w:tcBorders>
          </w:tcPr>
          <w:p w14:paraId="34B29FD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Borders>
              <w:top w:val="single" w:sz="18" w:space="0" w:color="000000"/>
            </w:tcBorders>
          </w:tcPr>
          <w:p w14:paraId="43AAEF8B"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Borders>
              <w:top w:val="single" w:sz="18" w:space="0" w:color="000000"/>
            </w:tcBorders>
          </w:tcPr>
          <w:p w14:paraId="0FB48BA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3F1B8AD9" w14:textId="77777777">
        <w:tc>
          <w:tcPr>
            <w:tcW w:w="7171" w:type="dxa"/>
          </w:tcPr>
          <w:p w14:paraId="0D29AC50"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regulation apply to all media (print, audiovisual and online) with no significant exemptions?</w:t>
            </w:r>
          </w:p>
        </w:tc>
        <w:tc>
          <w:tcPr>
            <w:tcW w:w="567" w:type="dxa"/>
          </w:tcPr>
          <w:p w14:paraId="12C42E44" w14:textId="192B9F7C"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27" w:type="dxa"/>
          </w:tcPr>
          <w:p w14:paraId="0B2F98D5" w14:textId="48936628" w:rsidR="00904FBA" w:rsidRDefault="00A81C93" w:rsidP="00A81C93">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x</w:t>
            </w:r>
          </w:p>
        </w:tc>
        <w:tc>
          <w:tcPr>
            <w:tcW w:w="555" w:type="dxa"/>
          </w:tcPr>
          <w:p w14:paraId="3C06EAB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70671EF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73BA1264" w14:textId="77777777">
        <w:tc>
          <w:tcPr>
            <w:tcW w:w="7171" w:type="dxa"/>
          </w:tcPr>
          <w:p w14:paraId="1EAA8BC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there an administrative or judicial body actively monitoring compliance with these rules and/or hearing complaints?</w:t>
            </w:r>
          </w:p>
        </w:tc>
        <w:tc>
          <w:tcPr>
            <w:tcW w:w="567" w:type="dxa"/>
          </w:tcPr>
          <w:p w14:paraId="0FC08505" w14:textId="62A8C1FE"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67BBC7B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29EA7CF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23C911B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23F24A89" w14:textId="77777777">
        <w:tc>
          <w:tcPr>
            <w:tcW w:w="7171" w:type="dxa"/>
          </w:tcPr>
          <w:p w14:paraId="44606FE7"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the law grant body effective sanctioning/enforcement powers in order to impose proportionate remedies in case of noncompliance with the rules?</w:t>
            </w:r>
          </w:p>
        </w:tc>
        <w:tc>
          <w:tcPr>
            <w:tcW w:w="567" w:type="dxa"/>
          </w:tcPr>
          <w:p w14:paraId="42B1C836" w14:textId="7F2713B2"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395A8A8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6181E8E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4FD11A7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5763C832" w14:textId="77777777">
        <w:tc>
          <w:tcPr>
            <w:tcW w:w="7171" w:type="dxa"/>
          </w:tcPr>
          <w:p w14:paraId="21223FC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Total</w:t>
            </w:r>
          </w:p>
        </w:tc>
        <w:tc>
          <w:tcPr>
            <w:tcW w:w="567" w:type="dxa"/>
          </w:tcPr>
          <w:p w14:paraId="39F5EFF1" w14:textId="59EBCDAE"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3</w:t>
            </w:r>
          </w:p>
        </w:tc>
        <w:tc>
          <w:tcPr>
            <w:tcW w:w="527" w:type="dxa"/>
          </w:tcPr>
          <w:p w14:paraId="2B02B5F0"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220A734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05F65D3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2A041A9B" w14:textId="77777777" w:rsidR="00904FBA" w:rsidRDefault="00904FBA">
      <w:pPr>
        <w:spacing w:before="120" w:after="0" w:line="240" w:lineRule="auto"/>
        <w:rPr>
          <w:rFonts w:ascii="Adobe Caslon Pro" w:eastAsia="Adobe Caslon Pro" w:hAnsi="Adobe Caslon Pro" w:cs="Adobe Caslon Pro"/>
        </w:rPr>
      </w:pPr>
    </w:p>
    <w:p w14:paraId="7A7D6A1F" w14:textId="77777777" w:rsidR="00904FBA" w:rsidRDefault="00126021">
      <w:pPr>
        <w:spacing w:after="0" w:line="240" w:lineRule="auto"/>
        <w:rPr>
          <w:rFonts w:ascii="Adobe Caslon Pro" w:eastAsia="Adobe Caslon Pro" w:hAnsi="Adobe Caslon Pro" w:cs="Adobe Caslon Pro"/>
        </w:rPr>
      </w:pPr>
      <w:r>
        <w:br w:type="page"/>
      </w:r>
    </w:p>
    <w:p w14:paraId="385D21D8" w14:textId="77777777" w:rsidR="00904FBA" w:rsidRDefault="00126021">
      <w:pPr>
        <w:spacing w:before="120" w:after="0" w:line="240" w:lineRule="auto"/>
        <w:rPr>
          <w:rFonts w:ascii="Adobe Caslon Pro" w:eastAsia="Adobe Caslon Pro" w:hAnsi="Adobe Caslon Pro" w:cs="Adobe Caslon Pro"/>
          <w:b/>
          <w:sz w:val="24"/>
          <w:szCs w:val="24"/>
        </w:rPr>
      </w:pPr>
      <w:r>
        <w:rPr>
          <w:rFonts w:ascii="Adobe Caslon Pro" w:eastAsia="Adobe Caslon Pro" w:hAnsi="Adobe Caslon Pro" w:cs="Adobe Caslon Pro"/>
          <w:b/>
          <w:sz w:val="24"/>
          <w:szCs w:val="24"/>
        </w:rPr>
        <w:lastRenderedPageBreak/>
        <w:t>II.5</w:t>
      </w:r>
      <w:r>
        <w:rPr>
          <w:rFonts w:ascii="Adobe Caslon Pro" w:eastAsia="Adobe Caslon Pro" w:hAnsi="Adobe Caslon Pro" w:cs="Adobe Caslon Pro"/>
          <w:b/>
          <w:sz w:val="24"/>
          <w:szCs w:val="24"/>
        </w:rPr>
        <w:tab/>
        <w:t>Regulatory Framework for Media Regulation</w:t>
      </w:r>
    </w:p>
    <w:p w14:paraId="67E83B9A" w14:textId="77777777" w:rsidR="00904FBA" w:rsidRDefault="00904FBA">
      <w:pPr>
        <w:spacing w:before="120" w:after="0" w:line="240" w:lineRule="auto"/>
        <w:rPr>
          <w:rFonts w:ascii="Adobe Caslon Pro" w:eastAsia="Adobe Caslon Pro" w:hAnsi="Adobe Caslon Pro" w:cs="Adobe Caslon Pro"/>
        </w:rPr>
      </w:pPr>
    </w:p>
    <w:p w14:paraId="53435E82" w14:textId="77777777" w:rsidR="00904FBA" w:rsidRDefault="00126021">
      <w:pPr>
        <w:spacing w:before="120" w:after="0" w:line="240" w:lineRule="auto"/>
        <w:rPr>
          <w:rFonts w:ascii="Adobe Caslon Pro" w:eastAsia="Adobe Caslon Pro" w:hAnsi="Adobe Caslon Pro" w:cs="Adobe Caslon Pro"/>
        </w:rPr>
      </w:pPr>
      <w:r>
        <w:rPr>
          <w:rFonts w:ascii="Adobe Caslon Pro" w:eastAsia="Adobe Caslon Pro" w:hAnsi="Adobe Caslon Pro" w:cs="Adobe Caslon Pro"/>
        </w:rPr>
        <w:t xml:space="preserve">Please report on the corresponding authorities responsible for media concentration monitoring in your country. This could be a: </w:t>
      </w:r>
    </w:p>
    <w:p w14:paraId="5A8D79B7" w14:textId="77777777" w:rsidR="00904FBA" w:rsidRDefault="00126021">
      <w:pPr>
        <w:numPr>
          <w:ilvl w:val="0"/>
          <w:numId w:val="4"/>
        </w:num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Media Authority</w:t>
      </w:r>
    </w:p>
    <w:p w14:paraId="00834F2E" w14:textId="77777777" w:rsidR="00904FBA" w:rsidRDefault="00126021">
      <w:pPr>
        <w:numPr>
          <w:ilvl w:val="0"/>
          <w:numId w:val="4"/>
        </w:num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Competition Authority</w:t>
      </w:r>
    </w:p>
    <w:p w14:paraId="48814830" w14:textId="77777777" w:rsidR="00904FBA" w:rsidRDefault="00126021">
      <w:pPr>
        <w:numPr>
          <w:ilvl w:val="0"/>
          <w:numId w:val="4"/>
        </w:num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Telecommunication Authority</w:t>
      </w:r>
    </w:p>
    <w:p w14:paraId="22BB4749" w14:textId="77777777" w:rsidR="00904FBA" w:rsidRDefault="00126021">
      <w:pPr>
        <w:spacing w:before="120" w:after="0" w:line="240" w:lineRule="auto"/>
        <w:rPr>
          <w:rFonts w:ascii="Adobe Caslon Pro" w:eastAsia="Adobe Caslon Pro" w:hAnsi="Adobe Caslon Pro" w:cs="Adobe Caslon Pro"/>
        </w:rPr>
      </w:pPr>
      <w:r>
        <w:rPr>
          <w:rFonts w:ascii="Adobe Caslon Pro" w:eastAsia="Adobe Caslon Pro" w:hAnsi="Adobe Caslon Pro" w:cs="Adobe Caslon Pro"/>
        </w:rPr>
        <w:t>If there are different authorities, please copy the checklist and fill in one checklist for each authority.</w:t>
      </w:r>
    </w:p>
    <w:p w14:paraId="05AA8567" w14:textId="77777777" w:rsidR="00904FBA" w:rsidRDefault="00904FBA">
      <w:pPr>
        <w:spacing w:before="120" w:after="0" w:line="240" w:lineRule="auto"/>
        <w:rPr>
          <w:rFonts w:ascii="Adobe Caslon Pro" w:eastAsia="Adobe Caslon Pro" w:hAnsi="Adobe Caslon Pro" w:cs="Adobe Caslon Pro"/>
        </w:rPr>
      </w:pPr>
    </w:p>
    <w:tbl>
      <w:tblPr>
        <w:tblStyle w:val="a8"/>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8"/>
        <w:gridCol w:w="558"/>
        <w:gridCol w:w="9"/>
        <w:gridCol w:w="527"/>
        <w:gridCol w:w="555"/>
        <w:gridCol w:w="611"/>
      </w:tblGrid>
      <w:tr w:rsidR="00904FBA" w14:paraId="38092059" w14:textId="77777777">
        <w:tc>
          <w:tcPr>
            <w:tcW w:w="7208" w:type="dxa"/>
            <w:shd w:val="clear" w:color="auto" w:fill="D9D9D9"/>
          </w:tcPr>
          <w:p w14:paraId="79CC77A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[Specify authority and insert name]</w:t>
            </w:r>
          </w:p>
        </w:tc>
        <w:tc>
          <w:tcPr>
            <w:tcW w:w="558" w:type="dxa"/>
            <w:shd w:val="clear" w:color="auto" w:fill="D9D9D9"/>
          </w:tcPr>
          <w:p w14:paraId="3416A366"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Yes</w:t>
            </w:r>
          </w:p>
          <w:p w14:paraId="63874B35"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w:t>
            </w:r>
          </w:p>
        </w:tc>
        <w:tc>
          <w:tcPr>
            <w:tcW w:w="536" w:type="dxa"/>
            <w:gridSpan w:val="2"/>
            <w:shd w:val="clear" w:color="auto" w:fill="D9D9D9"/>
          </w:tcPr>
          <w:p w14:paraId="585D1136"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No</w:t>
            </w:r>
          </w:p>
          <w:p w14:paraId="056A201C"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w:t>
            </w:r>
          </w:p>
        </w:tc>
        <w:tc>
          <w:tcPr>
            <w:tcW w:w="555" w:type="dxa"/>
            <w:shd w:val="clear" w:color="auto" w:fill="D9D9D9"/>
          </w:tcPr>
          <w:p w14:paraId="535E7D54"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NA</w:t>
            </w:r>
          </w:p>
        </w:tc>
        <w:tc>
          <w:tcPr>
            <w:tcW w:w="611" w:type="dxa"/>
            <w:shd w:val="clear" w:color="auto" w:fill="D9D9D9"/>
          </w:tcPr>
          <w:p w14:paraId="6AFAF154" w14:textId="77777777" w:rsidR="00904FBA" w:rsidRDefault="00126021">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MD</w:t>
            </w:r>
          </w:p>
        </w:tc>
      </w:tr>
      <w:tr w:rsidR="00904FBA" w14:paraId="1CC50DEA" w14:textId="77777777">
        <w:tc>
          <w:tcPr>
            <w:tcW w:w="7208" w:type="dxa"/>
          </w:tcPr>
          <w:p w14:paraId="512AC17C"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there any explicit constitutional or legal guarantees of independence of the media authority from political or commercial interference?</w:t>
            </w:r>
          </w:p>
        </w:tc>
        <w:tc>
          <w:tcPr>
            <w:tcW w:w="567" w:type="dxa"/>
            <w:gridSpan w:val="2"/>
          </w:tcPr>
          <w:p w14:paraId="704D9300" w14:textId="463E7C61"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6B0D68D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7C7C44C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4667F23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46945E59" w14:textId="77777777">
        <w:tc>
          <w:tcPr>
            <w:tcW w:w="7208" w:type="dxa"/>
          </w:tcPr>
          <w:p w14:paraId="4EB3983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appointment procedures for the media authority transparent, democratic and objective and designed to minimize the risk of political or commercial interference, for instance by including rules on incompatibility and eligibility?</w:t>
            </w:r>
          </w:p>
        </w:tc>
        <w:tc>
          <w:tcPr>
            <w:tcW w:w="567" w:type="dxa"/>
            <w:gridSpan w:val="2"/>
          </w:tcPr>
          <w:p w14:paraId="5AE4018C" w14:textId="66366BDA"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781C4A3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7057676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6426FBB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45C95165" w14:textId="77777777">
        <w:tc>
          <w:tcPr>
            <w:tcW w:w="7208" w:type="dxa"/>
          </w:tcPr>
          <w:p w14:paraId="44F44A42"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 procedures for allocation of budgetary resources for the media authority transparent and objective, i.e. leaving no scope for arbitrary decisions by the governing powers?</w:t>
            </w:r>
          </w:p>
        </w:tc>
        <w:tc>
          <w:tcPr>
            <w:tcW w:w="567" w:type="dxa"/>
            <w:gridSpan w:val="2"/>
          </w:tcPr>
          <w:p w14:paraId="6AD19C3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27" w:type="dxa"/>
          </w:tcPr>
          <w:p w14:paraId="0662ECCF" w14:textId="50D4897F"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x</w:t>
            </w:r>
          </w:p>
        </w:tc>
        <w:tc>
          <w:tcPr>
            <w:tcW w:w="555" w:type="dxa"/>
          </w:tcPr>
          <w:p w14:paraId="1C237A5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181A58B2"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260F29A5" w14:textId="77777777">
        <w:tc>
          <w:tcPr>
            <w:tcW w:w="7208" w:type="dxa"/>
          </w:tcPr>
          <w:p w14:paraId="57447A6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 tasks, duties and responsibilities of the media authority defined in detail in the law (e.g. grant licenses, compliance monitoring, sanctioning, other)?</w:t>
            </w:r>
          </w:p>
        </w:tc>
        <w:tc>
          <w:tcPr>
            <w:tcW w:w="567" w:type="dxa"/>
            <w:gridSpan w:val="2"/>
          </w:tcPr>
          <w:p w14:paraId="79181AFA" w14:textId="04ABBE48"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2CCFE20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3E200907"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6E07387E"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120772E6" w14:textId="77777777">
        <w:tc>
          <w:tcPr>
            <w:tcW w:w="7208" w:type="dxa"/>
          </w:tcPr>
          <w:p w14:paraId="2EBD59C3"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regulation attribute sanctioning powers to the media authority (e.g. warning, fine, suspension or revocation of license, other)?</w:t>
            </w:r>
          </w:p>
        </w:tc>
        <w:tc>
          <w:tcPr>
            <w:tcW w:w="567" w:type="dxa"/>
            <w:gridSpan w:val="2"/>
          </w:tcPr>
          <w:p w14:paraId="312957DF" w14:textId="4BAF8E45"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1A1CCB2C"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5DAB238F"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09801738"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7606AD4B" w14:textId="77777777">
        <w:tc>
          <w:tcPr>
            <w:tcW w:w="7208" w:type="dxa"/>
          </w:tcPr>
          <w:p w14:paraId="42CF93D5"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With regard to the media authority decisions, are there effective appeal mechanisms in place?</w:t>
            </w:r>
          </w:p>
        </w:tc>
        <w:tc>
          <w:tcPr>
            <w:tcW w:w="567" w:type="dxa"/>
            <w:gridSpan w:val="2"/>
          </w:tcPr>
          <w:p w14:paraId="306727A6" w14:textId="28F1DD29"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0068D9E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517C618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2BB5BC5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716EA5A8" w14:textId="77777777">
        <w:tc>
          <w:tcPr>
            <w:tcW w:w="7208" w:type="dxa"/>
          </w:tcPr>
          <w:p w14:paraId="7932FAB9"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Are the appointment procedures for the media authority respected in practice?</w:t>
            </w:r>
          </w:p>
        </w:tc>
        <w:tc>
          <w:tcPr>
            <w:tcW w:w="567" w:type="dxa"/>
            <w:gridSpan w:val="2"/>
          </w:tcPr>
          <w:p w14:paraId="33C97B60" w14:textId="61BE3D8B"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538EE89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2C7CE29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4E0D5B2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248A606F" w14:textId="77777777">
        <w:tc>
          <w:tcPr>
            <w:tcW w:w="7208" w:type="dxa"/>
          </w:tcPr>
          <w:p w14:paraId="3CD60A9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Does decisional practice of the media authority indicate that the authority uses its powers in practice in the interest of the public?</w:t>
            </w:r>
          </w:p>
        </w:tc>
        <w:tc>
          <w:tcPr>
            <w:tcW w:w="567" w:type="dxa"/>
            <w:gridSpan w:val="2"/>
          </w:tcPr>
          <w:p w14:paraId="7A61976C" w14:textId="5A4BDA8E"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0CFB168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179B078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317D073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5A4295D9" w14:textId="77777777">
        <w:tc>
          <w:tcPr>
            <w:tcW w:w="7208" w:type="dxa"/>
          </w:tcPr>
          <w:p w14:paraId="6BA2568B"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Is the budget adequate and consistent for the media authority to safeguard its independence and/or protect it from coercive budgetary pressures and to perform its functions?</w:t>
            </w:r>
          </w:p>
        </w:tc>
        <w:tc>
          <w:tcPr>
            <w:tcW w:w="567" w:type="dxa"/>
            <w:gridSpan w:val="2"/>
          </w:tcPr>
          <w:p w14:paraId="4DDEF2A1"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27" w:type="dxa"/>
          </w:tcPr>
          <w:p w14:paraId="7D0EE61F" w14:textId="2B0C6A5B"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x</w:t>
            </w:r>
          </w:p>
        </w:tc>
        <w:tc>
          <w:tcPr>
            <w:tcW w:w="555" w:type="dxa"/>
          </w:tcPr>
          <w:p w14:paraId="3F9F391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5A5DC45A"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4B4C3706" w14:textId="77777777">
        <w:tc>
          <w:tcPr>
            <w:tcW w:w="7208" w:type="dxa"/>
          </w:tcPr>
          <w:p w14:paraId="477B87E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The Government cannot arbitrarily overrule the decision of the media authority.</w:t>
            </w:r>
          </w:p>
        </w:tc>
        <w:tc>
          <w:tcPr>
            <w:tcW w:w="567" w:type="dxa"/>
            <w:gridSpan w:val="2"/>
          </w:tcPr>
          <w:p w14:paraId="6919ECEE" w14:textId="1658E6B3" w:rsidR="00904FBA" w:rsidRDefault="005E3406">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22A346E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6CE39043"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712248B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3F1ABF2C" w14:textId="77777777">
        <w:tc>
          <w:tcPr>
            <w:tcW w:w="7208" w:type="dxa"/>
          </w:tcPr>
          <w:p w14:paraId="45E7B0F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lastRenderedPageBreak/>
              <w:t>Is the media authority accountable to the public for its activities, (e.g.is it required to publish regular or ad hoc reports relevant to their work or the exercise of their missions)?</w:t>
            </w:r>
          </w:p>
        </w:tc>
        <w:tc>
          <w:tcPr>
            <w:tcW w:w="567" w:type="dxa"/>
            <w:gridSpan w:val="2"/>
          </w:tcPr>
          <w:p w14:paraId="647D51D1" w14:textId="12CB40F0" w:rsidR="00904FBA" w:rsidRDefault="00563060">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1</w:t>
            </w:r>
          </w:p>
        </w:tc>
        <w:tc>
          <w:tcPr>
            <w:tcW w:w="527" w:type="dxa"/>
          </w:tcPr>
          <w:p w14:paraId="36B8A774"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64FCCF86"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51B24555"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r w:rsidR="00904FBA" w14:paraId="71794490" w14:textId="77777777">
        <w:tc>
          <w:tcPr>
            <w:tcW w:w="7208" w:type="dxa"/>
          </w:tcPr>
          <w:p w14:paraId="0024C70A" w14:textId="77777777" w:rsidR="00904FBA" w:rsidRDefault="00126021">
            <w:pPr>
              <w:pBdr>
                <w:top w:val="nil"/>
                <w:left w:val="nil"/>
                <w:bottom w:val="nil"/>
                <w:right w:val="nil"/>
                <w:between w:val="nil"/>
              </w:pBdr>
              <w:spacing w:before="120" w:after="0" w:line="240" w:lineRule="auto"/>
              <w:rPr>
                <w:rFonts w:ascii="Adobe Caslon Pro" w:eastAsia="Adobe Caslon Pro" w:hAnsi="Adobe Caslon Pro" w:cs="Adobe Caslon Pro"/>
                <w:color w:val="000000"/>
              </w:rPr>
            </w:pPr>
            <w:r>
              <w:rPr>
                <w:rFonts w:ascii="Adobe Caslon Pro" w:eastAsia="Adobe Caslon Pro" w:hAnsi="Adobe Caslon Pro" w:cs="Adobe Caslon Pro"/>
                <w:color w:val="000000"/>
              </w:rPr>
              <w:t>Total</w:t>
            </w:r>
          </w:p>
        </w:tc>
        <w:tc>
          <w:tcPr>
            <w:tcW w:w="567" w:type="dxa"/>
            <w:gridSpan w:val="2"/>
          </w:tcPr>
          <w:p w14:paraId="1DF48C1F" w14:textId="1A86FB3A" w:rsidR="00904FBA" w:rsidRDefault="00563060">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r>
              <w:rPr>
                <w:rFonts w:ascii="Adobe Caslon Pro" w:eastAsia="Adobe Caslon Pro" w:hAnsi="Adobe Caslon Pro" w:cs="Adobe Caslon Pro"/>
                <w:color w:val="000000"/>
              </w:rPr>
              <w:t>9</w:t>
            </w:r>
          </w:p>
        </w:tc>
        <w:tc>
          <w:tcPr>
            <w:tcW w:w="527" w:type="dxa"/>
          </w:tcPr>
          <w:p w14:paraId="49B051A9"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555" w:type="dxa"/>
          </w:tcPr>
          <w:p w14:paraId="0C39A4C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c>
          <w:tcPr>
            <w:tcW w:w="611" w:type="dxa"/>
          </w:tcPr>
          <w:p w14:paraId="1A740F3D" w14:textId="77777777" w:rsidR="00904FBA" w:rsidRDefault="00904FBA">
            <w:pPr>
              <w:pBdr>
                <w:top w:val="nil"/>
                <w:left w:val="nil"/>
                <w:bottom w:val="nil"/>
                <w:right w:val="nil"/>
                <w:between w:val="nil"/>
              </w:pBdr>
              <w:spacing w:before="120" w:after="0" w:line="240" w:lineRule="auto"/>
              <w:jc w:val="center"/>
              <w:rPr>
                <w:rFonts w:ascii="Adobe Caslon Pro" w:eastAsia="Adobe Caslon Pro" w:hAnsi="Adobe Caslon Pro" w:cs="Adobe Caslon Pro"/>
                <w:color w:val="000000"/>
              </w:rPr>
            </w:pPr>
          </w:p>
        </w:tc>
      </w:tr>
    </w:tbl>
    <w:p w14:paraId="54484B5C" w14:textId="77777777" w:rsidR="00904FBA" w:rsidRDefault="00904FBA">
      <w:pPr>
        <w:spacing w:before="120" w:after="0" w:line="240" w:lineRule="auto"/>
        <w:rPr>
          <w:rFonts w:ascii="Adobe Caslon Pro" w:eastAsia="Adobe Caslon Pro" w:hAnsi="Adobe Caslon Pro" w:cs="Adobe Caslon Pro"/>
          <w:color w:val="000000"/>
        </w:rPr>
      </w:pPr>
    </w:p>
    <w:sectPr w:rsidR="00904FBA" w:rsidSect="005D00DF">
      <w:headerReference w:type="default" r:id="rId15"/>
      <w:pgSz w:w="11906" w:h="16838"/>
      <w:pgMar w:top="1417" w:right="1466" w:bottom="1134" w:left="1417" w:header="3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4B0F1" w14:textId="77777777" w:rsidR="006F3960" w:rsidRDefault="006F3960">
      <w:pPr>
        <w:spacing w:after="0" w:line="240" w:lineRule="auto"/>
      </w:pPr>
      <w:r>
        <w:separator/>
      </w:r>
    </w:p>
  </w:endnote>
  <w:endnote w:type="continuationSeparator" w:id="0">
    <w:p w14:paraId="7D70A52B" w14:textId="77777777" w:rsidR="006F3960" w:rsidRDefault="006F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dobe Caslon Pro">
    <w:altName w:val="Palatino Linotype"/>
    <w:charset w:val="00"/>
    <w:family w:val="auto"/>
    <w:pitch w:val="default"/>
  </w:font>
  <w:font w:name="Montserrat SemiBold">
    <w:charset w:val="00"/>
    <w:family w:val="auto"/>
    <w:pitch w:val="variable"/>
    <w:sig w:usb0="00000003" w:usb1="00000000" w:usb2="00000000" w:usb3="00000000" w:csb0="00000001" w:csb1="00000000"/>
  </w:font>
  <w:font w:name="Montserrat Ligh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726A" w14:textId="77777777" w:rsidR="00904FBA" w:rsidRDefault="00126021">
    <w:pPr>
      <w:pBdr>
        <w:top w:val="single" w:sz="4" w:space="1" w:color="000000"/>
        <w:left w:val="nil"/>
        <w:bottom w:val="nil"/>
        <w:right w:val="nil"/>
        <w:between w:val="nil"/>
      </w:pBdr>
      <w:tabs>
        <w:tab w:val="center" w:pos="4536"/>
        <w:tab w:val="right" w:pos="9072"/>
      </w:tabs>
      <w:ind w:right="-56"/>
      <w:rPr>
        <w:rFonts w:ascii="Adobe Caslon Pro" w:eastAsia="Adobe Caslon Pro" w:hAnsi="Adobe Caslon Pro" w:cs="Adobe Caslon Pro"/>
        <w:color w:val="000000"/>
        <w:sz w:val="18"/>
        <w:szCs w:val="18"/>
      </w:rPr>
    </w:pPr>
    <w:r>
      <w:rPr>
        <w:rFonts w:ascii="Adobe Caslon Pro" w:eastAsia="Adobe Caslon Pro" w:hAnsi="Adobe Caslon Pro" w:cs="Adobe Caslon Pro"/>
        <w:color w:val="000000"/>
        <w:sz w:val="18"/>
        <w:szCs w:val="18"/>
      </w:rPr>
      <w:t xml:space="preserve">NA: not applicable; MD: missing data    © GMR 2022 | page </w:t>
    </w:r>
    <w:r>
      <w:rPr>
        <w:rFonts w:ascii="Adobe Caslon Pro" w:eastAsia="Adobe Caslon Pro" w:hAnsi="Adobe Caslon Pro" w:cs="Adobe Caslon Pro"/>
        <w:color w:val="000000"/>
        <w:sz w:val="18"/>
        <w:szCs w:val="18"/>
      </w:rPr>
      <w:fldChar w:fldCharType="begin"/>
    </w:r>
    <w:r>
      <w:rPr>
        <w:rFonts w:ascii="Adobe Caslon Pro" w:eastAsia="Adobe Caslon Pro" w:hAnsi="Adobe Caslon Pro" w:cs="Adobe Caslon Pro"/>
        <w:color w:val="000000"/>
        <w:sz w:val="18"/>
        <w:szCs w:val="18"/>
      </w:rPr>
      <w:instrText>PAGE</w:instrText>
    </w:r>
    <w:r>
      <w:rPr>
        <w:rFonts w:ascii="Adobe Caslon Pro" w:eastAsia="Adobe Caslon Pro" w:hAnsi="Adobe Caslon Pro" w:cs="Adobe Caslon Pro"/>
        <w:color w:val="000000"/>
        <w:sz w:val="18"/>
        <w:szCs w:val="18"/>
      </w:rPr>
      <w:fldChar w:fldCharType="separate"/>
    </w:r>
    <w:r w:rsidR="00BE37D8">
      <w:rPr>
        <w:rFonts w:ascii="Adobe Caslon Pro" w:eastAsia="Adobe Caslon Pro" w:hAnsi="Adobe Caslon Pro" w:cs="Adobe Caslon Pro"/>
        <w:noProof/>
        <w:color w:val="000000"/>
        <w:sz w:val="18"/>
        <w:szCs w:val="18"/>
      </w:rPr>
      <w:t>1</w:t>
    </w:r>
    <w:r>
      <w:rPr>
        <w:rFonts w:ascii="Adobe Caslon Pro" w:eastAsia="Adobe Caslon Pro" w:hAnsi="Adobe Caslon Pro" w:cs="Adobe Caslon Pro"/>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CDCD" w14:textId="77777777" w:rsidR="006F3960" w:rsidRDefault="006F3960">
      <w:pPr>
        <w:spacing w:after="0" w:line="240" w:lineRule="auto"/>
      </w:pPr>
      <w:r>
        <w:separator/>
      </w:r>
    </w:p>
  </w:footnote>
  <w:footnote w:type="continuationSeparator" w:id="0">
    <w:p w14:paraId="0DD4E597" w14:textId="77777777" w:rsidR="006F3960" w:rsidRDefault="006F3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9FE6" w14:textId="77777777" w:rsidR="00904FBA" w:rsidRDefault="00126021">
    <w:pPr>
      <w:pBdr>
        <w:top w:val="nil"/>
        <w:left w:val="nil"/>
        <w:bottom w:val="nil"/>
        <w:right w:val="nil"/>
        <w:between w:val="nil"/>
      </w:pBdr>
      <w:tabs>
        <w:tab w:val="center" w:pos="4536"/>
        <w:tab w:val="right" w:pos="9072"/>
      </w:tabs>
      <w:ind w:right="-426"/>
      <w:jc w:val="right"/>
      <w:rPr>
        <w:color w:val="000000"/>
      </w:rPr>
    </w:pPr>
    <w:r>
      <w:rPr>
        <w:noProof/>
        <w:color w:val="000000"/>
      </w:rPr>
      <w:drawing>
        <wp:inline distT="0" distB="0" distL="0" distR="0" wp14:anchorId="45FB7D16" wp14:editId="5BFA810B">
          <wp:extent cx="1802926" cy="50843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8" t="-4792" r="18" b="-4792"/>
                  <a:stretch>
                    <a:fillRect/>
                  </a:stretch>
                </pic:blipFill>
                <pic:spPr>
                  <a:xfrm>
                    <a:off x="0" y="0"/>
                    <a:ext cx="1802926" cy="50843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7F2E6" w14:textId="77777777" w:rsidR="00904FBA" w:rsidRDefault="00904FBA">
    <w:pPr>
      <w:pBdr>
        <w:top w:val="nil"/>
        <w:left w:val="nil"/>
        <w:bottom w:val="nil"/>
        <w:right w:val="nil"/>
        <w:between w:val="nil"/>
      </w:pBdr>
      <w:tabs>
        <w:tab w:val="center" w:pos="4536"/>
        <w:tab w:val="right" w:pos="9072"/>
      </w:tabs>
      <w:ind w:right="-248"/>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544D4"/>
    <w:multiLevelType w:val="multilevel"/>
    <w:tmpl w:val="63FE6E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CB4377A"/>
    <w:multiLevelType w:val="multilevel"/>
    <w:tmpl w:val="26EC95B6"/>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numFmt w:val="bullet"/>
      <w:lvlText w:val="•"/>
      <w:lvlJc w:val="left"/>
      <w:pPr>
        <w:ind w:left="2145" w:hanging="705"/>
      </w:pPr>
      <w:rPr>
        <w:rFonts w:ascii="Arial Narrow" w:eastAsia="Arial Narrow" w:hAnsi="Arial Narrow" w:cs="Arial Narrow"/>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6BA32202"/>
    <w:multiLevelType w:val="multilevel"/>
    <w:tmpl w:val="BE042E2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797402C"/>
    <w:multiLevelType w:val="multilevel"/>
    <w:tmpl w:val="47DA042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DB31D5F"/>
    <w:multiLevelType w:val="multilevel"/>
    <w:tmpl w:val="0E4CB406"/>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FBA"/>
    <w:rsid w:val="0006292B"/>
    <w:rsid w:val="000F01E0"/>
    <w:rsid w:val="00115930"/>
    <w:rsid w:val="00116DF9"/>
    <w:rsid w:val="00126021"/>
    <w:rsid w:val="00165CD4"/>
    <w:rsid w:val="001B5CA5"/>
    <w:rsid w:val="001C353E"/>
    <w:rsid w:val="001E55D8"/>
    <w:rsid w:val="0025052E"/>
    <w:rsid w:val="00254BBB"/>
    <w:rsid w:val="00270B8A"/>
    <w:rsid w:val="0028157C"/>
    <w:rsid w:val="002838C7"/>
    <w:rsid w:val="002B22B0"/>
    <w:rsid w:val="00305858"/>
    <w:rsid w:val="003B0E0F"/>
    <w:rsid w:val="003B5406"/>
    <w:rsid w:val="003D75C2"/>
    <w:rsid w:val="00407A94"/>
    <w:rsid w:val="004247F8"/>
    <w:rsid w:val="00436C76"/>
    <w:rsid w:val="004F5AF9"/>
    <w:rsid w:val="005344E5"/>
    <w:rsid w:val="005345B5"/>
    <w:rsid w:val="00556844"/>
    <w:rsid w:val="00563060"/>
    <w:rsid w:val="005C700D"/>
    <w:rsid w:val="005D00DF"/>
    <w:rsid w:val="005E3406"/>
    <w:rsid w:val="006A490B"/>
    <w:rsid w:val="006F3960"/>
    <w:rsid w:val="00714B54"/>
    <w:rsid w:val="00722B69"/>
    <w:rsid w:val="00776F15"/>
    <w:rsid w:val="0079046B"/>
    <w:rsid w:val="0081524A"/>
    <w:rsid w:val="008D4FFF"/>
    <w:rsid w:val="00904FBA"/>
    <w:rsid w:val="00A160AC"/>
    <w:rsid w:val="00A57980"/>
    <w:rsid w:val="00A81C93"/>
    <w:rsid w:val="00A97B40"/>
    <w:rsid w:val="00AD680E"/>
    <w:rsid w:val="00BA651B"/>
    <w:rsid w:val="00BC2257"/>
    <w:rsid w:val="00BE37D8"/>
    <w:rsid w:val="00BF2633"/>
    <w:rsid w:val="00C41BC7"/>
    <w:rsid w:val="00C75B02"/>
    <w:rsid w:val="00CD1A6E"/>
    <w:rsid w:val="00D224E8"/>
    <w:rsid w:val="00D46E2A"/>
    <w:rsid w:val="00DE3913"/>
    <w:rsid w:val="00DF38FC"/>
    <w:rsid w:val="00E10574"/>
    <w:rsid w:val="00E97C4E"/>
    <w:rsid w:val="00EF71D3"/>
    <w:rsid w:val="00F257D7"/>
    <w:rsid w:val="00F4354E"/>
    <w:rsid w:val="00F9226C"/>
    <w:rsid w:val="00FC1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D73C"/>
  <w15:docId w15:val="{644FB955-E458-4612-818F-6FC27688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C7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AC1523"/>
    <w:rPr>
      <w:rFonts w:ascii="Times New Roman" w:hAnsi="Times New Roman" w:cs="Times New Roman"/>
      <w:color w:val="0000FF"/>
      <w:u w:val="single"/>
    </w:rPr>
  </w:style>
  <w:style w:type="paragraph" w:styleId="ListParagraph">
    <w:name w:val="List Paragraph"/>
    <w:basedOn w:val="Normal"/>
    <w:uiPriority w:val="99"/>
    <w:qFormat/>
    <w:rsid w:val="00AC1523"/>
    <w:pPr>
      <w:ind w:left="720"/>
    </w:pPr>
  </w:style>
  <w:style w:type="character" w:styleId="FollowedHyperlink">
    <w:name w:val="FollowedHyperlink"/>
    <w:basedOn w:val="DefaultParagraphFont"/>
    <w:uiPriority w:val="99"/>
    <w:rsid w:val="00AC1523"/>
    <w:rPr>
      <w:rFonts w:ascii="Times New Roman" w:hAnsi="Times New Roman" w:cs="Times New Roman"/>
      <w:color w:val="800080"/>
      <w:u w:val="single"/>
    </w:rPr>
  </w:style>
  <w:style w:type="paragraph" w:customStyle="1" w:styleId="Default">
    <w:name w:val="Default"/>
    <w:rsid w:val="001D74DE"/>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487575"/>
    <w:pPr>
      <w:tabs>
        <w:tab w:val="center" w:pos="4536"/>
        <w:tab w:val="right" w:pos="9072"/>
      </w:tabs>
    </w:pPr>
  </w:style>
  <w:style w:type="character" w:customStyle="1" w:styleId="HeaderChar">
    <w:name w:val="Header Char"/>
    <w:basedOn w:val="DefaultParagraphFont"/>
    <w:link w:val="Header"/>
    <w:uiPriority w:val="99"/>
    <w:rsid w:val="00487575"/>
    <w:rPr>
      <w:rFonts w:ascii="Calibri" w:hAnsi="Calibri" w:cs="Calibri"/>
      <w:lang w:eastAsia="en-US"/>
    </w:rPr>
  </w:style>
  <w:style w:type="paragraph" w:styleId="Footer">
    <w:name w:val="footer"/>
    <w:basedOn w:val="Normal"/>
    <w:link w:val="FooterChar"/>
    <w:uiPriority w:val="99"/>
    <w:unhideWhenUsed/>
    <w:rsid w:val="00487575"/>
    <w:pPr>
      <w:tabs>
        <w:tab w:val="center" w:pos="4536"/>
        <w:tab w:val="right" w:pos="9072"/>
      </w:tabs>
    </w:pPr>
  </w:style>
  <w:style w:type="character" w:customStyle="1" w:styleId="FooterChar">
    <w:name w:val="Footer Char"/>
    <w:basedOn w:val="DefaultParagraphFont"/>
    <w:link w:val="Footer"/>
    <w:uiPriority w:val="99"/>
    <w:rsid w:val="00487575"/>
    <w:rPr>
      <w:rFonts w:ascii="Calibri" w:hAnsi="Calibri" w:cs="Calibri"/>
      <w:lang w:eastAsia="en-US"/>
    </w:rPr>
  </w:style>
  <w:style w:type="table" w:styleId="TableGrid">
    <w:name w:val="Table Grid"/>
    <w:basedOn w:val="TableNormal"/>
    <w:uiPriority w:val="39"/>
    <w:rsid w:val="00A65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87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D0870"/>
    <w:rPr>
      <w:rFonts w:ascii="Lucida Grande" w:hAnsi="Lucida Grande" w:cs="Calibri"/>
      <w:sz w:val="18"/>
      <w:szCs w:val="18"/>
      <w:lang w:eastAsia="en-US"/>
    </w:rPr>
  </w:style>
  <w:style w:type="character" w:styleId="CommentReference">
    <w:name w:val="annotation reference"/>
    <w:basedOn w:val="DefaultParagraphFont"/>
    <w:uiPriority w:val="99"/>
    <w:semiHidden/>
    <w:unhideWhenUsed/>
    <w:rsid w:val="007D0870"/>
    <w:rPr>
      <w:sz w:val="18"/>
      <w:szCs w:val="18"/>
    </w:rPr>
  </w:style>
  <w:style w:type="paragraph" w:styleId="CommentText">
    <w:name w:val="annotation text"/>
    <w:basedOn w:val="Normal"/>
    <w:link w:val="CommentTextChar"/>
    <w:uiPriority w:val="99"/>
    <w:semiHidden/>
    <w:unhideWhenUsed/>
    <w:rsid w:val="007D0870"/>
    <w:rPr>
      <w:sz w:val="24"/>
      <w:szCs w:val="24"/>
    </w:rPr>
  </w:style>
  <w:style w:type="character" w:customStyle="1" w:styleId="CommentTextChar">
    <w:name w:val="Comment Text Char"/>
    <w:basedOn w:val="DefaultParagraphFont"/>
    <w:link w:val="CommentText"/>
    <w:uiPriority w:val="99"/>
    <w:semiHidden/>
    <w:rsid w:val="007D0870"/>
    <w:rPr>
      <w:rFonts w:ascii="Calibri" w:hAnsi="Calibri" w:cs="Calibri"/>
      <w:sz w:val="24"/>
      <w:szCs w:val="24"/>
      <w:lang w:eastAsia="en-US"/>
    </w:rPr>
  </w:style>
  <w:style w:type="paragraph" w:styleId="CommentSubject">
    <w:name w:val="annotation subject"/>
    <w:basedOn w:val="CommentText"/>
    <w:next w:val="CommentText"/>
    <w:link w:val="CommentSubjectChar"/>
    <w:uiPriority w:val="99"/>
    <w:semiHidden/>
    <w:unhideWhenUsed/>
    <w:rsid w:val="007D0870"/>
    <w:rPr>
      <w:b/>
      <w:bCs/>
      <w:sz w:val="20"/>
      <w:szCs w:val="20"/>
    </w:rPr>
  </w:style>
  <w:style w:type="character" w:customStyle="1" w:styleId="CommentSubjectChar">
    <w:name w:val="Comment Subject Char"/>
    <w:basedOn w:val="CommentTextChar"/>
    <w:link w:val="CommentSubject"/>
    <w:uiPriority w:val="99"/>
    <w:semiHidden/>
    <w:rsid w:val="007D0870"/>
    <w:rPr>
      <w:rFonts w:ascii="Calibri" w:hAnsi="Calibri" w:cs="Calibri"/>
      <w:b/>
      <w:bCs/>
      <w:sz w:val="20"/>
      <w:szCs w:val="20"/>
      <w:lang w:eastAsia="en-US"/>
    </w:rPr>
  </w:style>
  <w:style w:type="paragraph" w:styleId="Revision">
    <w:name w:val="Revision"/>
    <w:hidden/>
    <w:uiPriority w:val="99"/>
    <w:semiHidden/>
    <w:rsid w:val="001C1D32"/>
  </w:style>
  <w:style w:type="table" w:customStyle="1" w:styleId="Tabellenraster1">
    <w:name w:val="Tabellenraster1"/>
    <w:basedOn w:val="TableNormal"/>
    <w:next w:val="TableGrid"/>
    <w:uiPriority w:val="59"/>
    <w:rsid w:val="004F6C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495340">
      <w:bodyDiv w:val="1"/>
      <w:marLeft w:val="0"/>
      <w:marRight w:val="0"/>
      <w:marTop w:val="0"/>
      <w:marBottom w:val="0"/>
      <w:divBdr>
        <w:top w:val="none" w:sz="0" w:space="0" w:color="auto"/>
        <w:left w:val="none" w:sz="0" w:space="0" w:color="auto"/>
        <w:bottom w:val="none" w:sz="0" w:space="0" w:color="auto"/>
        <w:right w:val="none" w:sz="0" w:space="0" w:color="auto"/>
      </w:divBdr>
    </w:div>
    <w:div w:id="356079147">
      <w:bodyDiv w:val="1"/>
      <w:marLeft w:val="0"/>
      <w:marRight w:val="0"/>
      <w:marTop w:val="0"/>
      <w:marBottom w:val="0"/>
      <w:divBdr>
        <w:top w:val="none" w:sz="0" w:space="0" w:color="auto"/>
        <w:left w:val="none" w:sz="0" w:space="0" w:color="auto"/>
        <w:bottom w:val="none" w:sz="0" w:space="0" w:color="auto"/>
        <w:right w:val="none" w:sz="0" w:space="0" w:color="auto"/>
      </w:divBdr>
      <w:divsChild>
        <w:div w:id="795099169">
          <w:marLeft w:val="0"/>
          <w:marRight w:val="0"/>
          <w:marTop w:val="0"/>
          <w:marBottom w:val="0"/>
          <w:divBdr>
            <w:top w:val="none" w:sz="0" w:space="0" w:color="auto"/>
            <w:left w:val="none" w:sz="0" w:space="0" w:color="auto"/>
            <w:bottom w:val="none" w:sz="0" w:space="0" w:color="auto"/>
            <w:right w:val="none" w:sz="0" w:space="0" w:color="auto"/>
          </w:divBdr>
          <w:divsChild>
            <w:div w:id="900292966">
              <w:marLeft w:val="69"/>
              <w:marRight w:val="69"/>
              <w:marTop w:val="0"/>
              <w:marBottom w:val="0"/>
              <w:divBdr>
                <w:top w:val="none" w:sz="0" w:space="0" w:color="auto"/>
                <w:left w:val="none" w:sz="0" w:space="0" w:color="auto"/>
                <w:bottom w:val="none" w:sz="0" w:space="0" w:color="auto"/>
                <w:right w:val="none" w:sz="0" w:space="0" w:color="auto"/>
              </w:divBdr>
            </w:div>
          </w:divsChild>
        </w:div>
        <w:div w:id="2102023345">
          <w:marLeft w:val="0"/>
          <w:marRight w:val="0"/>
          <w:marTop w:val="0"/>
          <w:marBottom w:val="450"/>
          <w:divBdr>
            <w:top w:val="none" w:sz="0" w:space="0" w:color="auto"/>
            <w:left w:val="none" w:sz="0" w:space="0" w:color="auto"/>
            <w:bottom w:val="none" w:sz="0" w:space="0" w:color="auto"/>
            <w:right w:val="none" w:sz="0" w:space="0" w:color="auto"/>
          </w:divBdr>
          <w:divsChild>
            <w:div w:id="803356599">
              <w:marLeft w:val="0"/>
              <w:marRight w:val="0"/>
              <w:marTop w:val="0"/>
              <w:marBottom w:val="0"/>
              <w:divBdr>
                <w:top w:val="none" w:sz="0" w:space="0" w:color="auto"/>
                <w:left w:val="none" w:sz="0" w:space="0" w:color="auto"/>
                <w:bottom w:val="none" w:sz="0" w:space="0" w:color="auto"/>
                <w:right w:val="none" w:sz="0" w:space="0" w:color="auto"/>
              </w:divBdr>
              <w:divsChild>
                <w:div w:id="1562399501">
                  <w:marLeft w:val="69"/>
                  <w:marRight w:val="69"/>
                  <w:marTop w:val="0"/>
                  <w:marBottom w:val="0"/>
                  <w:divBdr>
                    <w:top w:val="none" w:sz="0" w:space="0" w:color="auto"/>
                    <w:left w:val="none" w:sz="0" w:space="0" w:color="auto"/>
                    <w:bottom w:val="none" w:sz="0" w:space="0" w:color="auto"/>
                    <w:right w:val="none" w:sz="0" w:space="0" w:color="auto"/>
                  </w:divBdr>
                </w:div>
              </w:divsChild>
            </w:div>
          </w:divsChild>
        </w:div>
        <w:div w:id="1809736236">
          <w:marLeft w:val="0"/>
          <w:marRight w:val="0"/>
          <w:marTop w:val="0"/>
          <w:marBottom w:val="450"/>
          <w:divBdr>
            <w:top w:val="none" w:sz="0" w:space="0" w:color="auto"/>
            <w:left w:val="none" w:sz="0" w:space="0" w:color="auto"/>
            <w:bottom w:val="none" w:sz="0" w:space="0" w:color="auto"/>
            <w:right w:val="none" w:sz="0" w:space="0" w:color="auto"/>
          </w:divBdr>
          <w:divsChild>
            <w:div w:id="278952291">
              <w:marLeft w:val="0"/>
              <w:marRight w:val="0"/>
              <w:marTop w:val="0"/>
              <w:marBottom w:val="0"/>
              <w:divBdr>
                <w:top w:val="none" w:sz="0" w:space="0" w:color="auto"/>
                <w:left w:val="none" w:sz="0" w:space="0" w:color="auto"/>
                <w:bottom w:val="none" w:sz="0" w:space="0" w:color="auto"/>
                <w:right w:val="none" w:sz="0" w:space="0" w:color="auto"/>
              </w:divBdr>
              <w:divsChild>
                <w:div w:id="488137929">
                  <w:marLeft w:val="69"/>
                  <w:marRight w:val="69"/>
                  <w:marTop w:val="0"/>
                  <w:marBottom w:val="0"/>
                  <w:divBdr>
                    <w:top w:val="none" w:sz="0" w:space="0" w:color="auto"/>
                    <w:left w:val="none" w:sz="0" w:space="0" w:color="auto"/>
                    <w:bottom w:val="none" w:sz="0" w:space="0" w:color="auto"/>
                    <w:right w:val="none" w:sz="0" w:space="0" w:color="auto"/>
                  </w:divBdr>
                </w:div>
              </w:divsChild>
            </w:div>
          </w:divsChild>
        </w:div>
        <w:div w:id="1538469472">
          <w:marLeft w:val="0"/>
          <w:marRight w:val="0"/>
          <w:marTop w:val="0"/>
          <w:marBottom w:val="450"/>
          <w:divBdr>
            <w:top w:val="none" w:sz="0" w:space="0" w:color="auto"/>
            <w:left w:val="none" w:sz="0" w:space="0" w:color="auto"/>
            <w:bottom w:val="none" w:sz="0" w:space="0" w:color="auto"/>
            <w:right w:val="none" w:sz="0" w:space="0" w:color="auto"/>
          </w:divBdr>
          <w:divsChild>
            <w:div w:id="1652061308">
              <w:marLeft w:val="0"/>
              <w:marRight w:val="0"/>
              <w:marTop w:val="0"/>
              <w:marBottom w:val="0"/>
              <w:divBdr>
                <w:top w:val="none" w:sz="0" w:space="0" w:color="auto"/>
                <w:left w:val="none" w:sz="0" w:space="0" w:color="auto"/>
                <w:bottom w:val="none" w:sz="0" w:space="0" w:color="auto"/>
                <w:right w:val="none" w:sz="0" w:space="0" w:color="auto"/>
              </w:divBdr>
              <w:divsChild>
                <w:div w:id="1598831686">
                  <w:marLeft w:val="69"/>
                  <w:marRight w:val="69"/>
                  <w:marTop w:val="0"/>
                  <w:marBottom w:val="0"/>
                  <w:divBdr>
                    <w:top w:val="none" w:sz="0" w:space="0" w:color="auto"/>
                    <w:left w:val="none" w:sz="0" w:space="0" w:color="auto"/>
                    <w:bottom w:val="none" w:sz="0" w:space="0" w:color="auto"/>
                    <w:right w:val="none" w:sz="0" w:space="0" w:color="auto"/>
                  </w:divBdr>
                </w:div>
              </w:divsChild>
            </w:div>
          </w:divsChild>
        </w:div>
        <w:div w:id="1641038994">
          <w:marLeft w:val="0"/>
          <w:marRight w:val="0"/>
          <w:marTop w:val="0"/>
          <w:marBottom w:val="450"/>
          <w:divBdr>
            <w:top w:val="none" w:sz="0" w:space="0" w:color="auto"/>
            <w:left w:val="none" w:sz="0" w:space="0" w:color="auto"/>
            <w:bottom w:val="none" w:sz="0" w:space="0" w:color="auto"/>
            <w:right w:val="none" w:sz="0" w:space="0" w:color="auto"/>
          </w:divBdr>
          <w:divsChild>
            <w:div w:id="33190959">
              <w:marLeft w:val="0"/>
              <w:marRight w:val="0"/>
              <w:marTop w:val="0"/>
              <w:marBottom w:val="0"/>
              <w:divBdr>
                <w:top w:val="none" w:sz="0" w:space="0" w:color="auto"/>
                <w:left w:val="none" w:sz="0" w:space="0" w:color="auto"/>
                <w:bottom w:val="none" w:sz="0" w:space="0" w:color="auto"/>
                <w:right w:val="none" w:sz="0" w:space="0" w:color="auto"/>
              </w:divBdr>
              <w:divsChild>
                <w:div w:id="940844718">
                  <w:marLeft w:val="69"/>
                  <w:marRight w:val="69"/>
                  <w:marTop w:val="0"/>
                  <w:marBottom w:val="0"/>
                  <w:divBdr>
                    <w:top w:val="none" w:sz="0" w:space="0" w:color="auto"/>
                    <w:left w:val="none" w:sz="0" w:space="0" w:color="auto"/>
                    <w:bottom w:val="none" w:sz="0" w:space="0" w:color="auto"/>
                    <w:right w:val="none" w:sz="0" w:space="0" w:color="auto"/>
                  </w:divBdr>
                </w:div>
              </w:divsChild>
            </w:div>
          </w:divsChild>
        </w:div>
        <w:div w:id="1512598689">
          <w:marLeft w:val="0"/>
          <w:marRight w:val="0"/>
          <w:marTop w:val="0"/>
          <w:marBottom w:val="450"/>
          <w:divBdr>
            <w:top w:val="none" w:sz="0" w:space="0" w:color="auto"/>
            <w:left w:val="none" w:sz="0" w:space="0" w:color="auto"/>
            <w:bottom w:val="none" w:sz="0" w:space="0" w:color="auto"/>
            <w:right w:val="none" w:sz="0" w:space="0" w:color="auto"/>
          </w:divBdr>
          <w:divsChild>
            <w:div w:id="822739170">
              <w:marLeft w:val="0"/>
              <w:marRight w:val="0"/>
              <w:marTop w:val="0"/>
              <w:marBottom w:val="0"/>
              <w:divBdr>
                <w:top w:val="none" w:sz="0" w:space="0" w:color="auto"/>
                <w:left w:val="none" w:sz="0" w:space="0" w:color="auto"/>
                <w:bottom w:val="none" w:sz="0" w:space="0" w:color="auto"/>
                <w:right w:val="none" w:sz="0" w:space="0" w:color="auto"/>
              </w:divBdr>
              <w:divsChild>
                <w:div w:id="1109201669">
                  <w:marLeft w:val="69"/>
                  <w:marRight w:val="69"/>
                  <w:marTop w:val="0"/>
                  <w:marBottom w:val="0"/>
                  <w:divBdr>
                    <w:top w:val="none" w:sz="0" w:space="0" w:color="auto"/>
                    <w:left w:val="none" w:sz="0" w:space="0" w:color="auto"/>
                    <w:bottom w:val="none" w:sz="0" w:space="0" w:color="auto"/>
                    <w:right w:val="none" w:sz="0" w:space="0" w:color="auto"/>
                  </w:divBdr>
                </w:div>
              </w:divsChild>
            </w:div>
          </w:divsChild>
        </w:div>
      </w:divsChild>
    </w:div>
    <w:div w:id="492572484">
      <w:bodyDiv w:val="1"/>
      <w:marLeft w:val="0"/>
      <w:marRight w:val="0"/>
      <w:marTop w:val="0"/>
      <w:marBottom w:val="0"/>
      <w:divBdr>
        <w:top w:val="none" w:sz="0" w:space="0" w:color="auto"/>
        <w:left w:val="none" w:sz="0" w:space="0" w:color="auto"/>
        <w:bottom w:val="none" w:sz="0" w:space="0" w:color="auto"/>
        <w:right w:val="none" w:sz="0" w:space="0" w:color="auto"/>
      </w:divBdr>
      <w:divsChild>
        <w:div w:id="1382293092">
          <w:marLeft w:val="0"/>
          <w:marRight w:val="0"/>
          <w:marTop w:val="0"/>
          <w:marBottom w:val="450"/>
          <w:divBdr>
            <w:top w:val="none" w:sz="0" w:space="0" w:color="auto"/>
            <w:left w:val="none" w:sz="0" w:space="0" w:color="auto"/>
            <w:bottom w:val="none" w:sz="0" w:space="0" w:color="auto"/>
            <w:right w:val="none" w:sz="0" w:space="0" w:color="auto"/>
          </w:divBdr>
          <w:divsChild>
            <w:div w:id="1393037195">
              <w:marLeft w:val="0"/>
              <w:marRight w:val="0"/>
              <w:marTop w:val="0"/>
              <w:marBottom w:val="0"/>
              <w:divBdr>
                <w:top w:val="none" w:sz="0" w:space="0" w:color="auto"/>
                <w:left w:val="none" w:sz="0" w:space="0" w:color="auto"/>
                <w:bottom w:val="none" w:sz="0" w:space="0" w:color="auto"/>
                <w:right w:val="none" w:sz="0" w:space="0" w:color="auto"/>
              </w:divBdr>
              <w:divsChild>
                <w:div w:id="1956865563">
                  <w:marLeft w:val="69"/>
                  <w:marRight w:val="69"/>
                  <w:marTop w:val="0"/>
                  <w:marBottom w:val="0"/>
                  <w:divBdr>
                    <w:top w:val="none" w:sz="0" w:space="0" w:color="auto"/>
                    <w:left w:val="none" w:sz="0" w:space="0" w:color="auto"/>
                    <w:bottom w:val="none" w:sz="0" w:space="0" w:color="auto"/>
                    <w:right w:val="none" w:sz="0" w:space="0" w:color="auto"/>
                  </w:divBdr>
                </w:div>
              </w:divsChild>
            </w:div>
          </w:divsChild>
        </w:div>
      </w:divsChild>
    </w:div>
    <w:div w:id="1393962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onitor.cmpf.eui.e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ccess-info.org/tmo/1226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smedia-africa.org/fileadmin/user_upload/pdf/amb_indicators/2013_List_with_new_Indicators.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oe.int/t/dghl/standardsetting/media/Doc/H-Inf(2009)9_en.pdf" TargetMode="External"/><Relationship Id="rId4" Type="http://schemas.openxmlformats.org/officeDocument/2006/relationships/settings" Target="settings.xml"/><Relationship Id="rId9" Type="http://schemas.openxmlformats.org/officeDocument/2006/relationships/hyperlink" Target="http://unesdoc.unesco.org/images/0016/001631/163102e.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9CVfl64W1j5vPARCOM24DyMK6Q==">CgMxLjAyCGguZ2pkZ3hzOAByITFCZk5ZaGFjV0h0QkRKeXdjaFl6cktRQ3loeWRiR0lpMA==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6660</Words>
  <Characters>37967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Nina Ludewig | Reporter ohne Grenzen</dc:creator>
  <cp:lastModifiedBy>Ara Ghazaryan</cp:lastModifiedBy>
  <cp:revision>4</cp:revision>
  <dcterms:created xsi:type="dcterms:W3CDTF">2025-02-09T13:47:00Z</dcterms:created>
  <dcterms:modified xsi:type="dcterms:W3CDTF">2025-02-21T16:28:00Z</dcterms:modified>
</cp:coreProperties>
</file>