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49F1" w:rsidRPr="002E49F1" w:rsidRDefault="002E49F1" w:rsidP="002E49F1">
      <w:pPr>
        <w:autoSpaceDE w:val="0"/>
        <w:autoSpaceDN w:val="0"/>
        <w:adjustRightInd w:val="0"/>
        <w:spacing w:after="0"/>
        <w:contextualSpacing/>
        <w:jc w:val="center"/>
        <w:rPr>
          <w:rFonts w:ascii="Sylfaen" w:eastAsia="Times New Roman" w:hAnsi="Sylfaen" w:cs="Arial"/>
          <w:b/>
          <w:sz w:val="28"/>
          <w:szCs w:val="28"/>
          <w:lang w:val="en-GB" w:eastAsia="en-GB"/>
        </w:rPr>
      </w:pPr>
      <w:r w:rsidRPr="002E49F1">
        <w:rPr>
          <w:rFonts w:ascii="Sylfaen" w:eastAsia="Times New Roman" w:hAnsi="Sylfaen" w:cs="Arial"/>
          <w:b/>
          <w:sz w:val="28"/>
          <w:szCs w:val="28"/>
          <w:lang w:val="en-GB" w:eastAsia="en-GB"/>
        </w:rPr>
        <w:t>Կոնվենցիայի 14-րդ հոդված` բնույթը և շրջանակը</w:t>
      </w:r>
    </w:p>
    <w:p w:rsidR="002E49F1" w:rsidRPr="002E49F1" w:rsidRDefault="002E49F1" w:rsidP="002E49F1">
      <w:pPr>
        <w:autoSpaceDE w:val="0"/>
        <w:autoSpaceDN w:val="0"/>
        <w:adjustRightInd w:val="0"/>
        <w:spacing w:after="0"/>
        <w:jc w:val="both"/>
        <w:rPr>
          <w:rFonts w:ascii="Sylfaen" w:eastAsia="Times New Roman" w:hAnsi="Sylfaen" w:cs="Arial"/>
          <w:b/>
          <w:sz w:val="24"/>
          <w:szCs w:val="24"/>
          <w:lang w:val="en-GB" w:eastAsia="en-GB"/>
        </w:rPr>
      </w:pPr>
    </w:p>
    <w:p w:rsidR="002E49F1" w:rsidRPr="002E49F1" w:rsidRDefault="002E49F1" w:rsidP="002E49F1">
      <w:pPr>
        <w:spacing w:after="0"/>
        <w:jc w:val="both"/>
        <w:rPr>
          <w:rFonts w:ascii="Sylfaen" w:eastAsia="Times New Roman" w:hAnsi="Sylfaen" w:cs="Arial"/>
          <w:i/>
          <w:sz w:val="24"/>
          <w:szCs w:val="24"/>
          <w:lang w:val="en-GB" w:eastAsia="en-GB"/>
        </w:rPr>
      </w:pPr>
      <w:r w:rsidRPr="002E49F1">
        <w:rPr>
          <w:rFonts w:ascii="Sylfaen" w:eastAsia="Times New Roman" w:hAnsi="Sylfaen" w:cs="Arial"/>
          <w:sz w:val="24"/>
          <w:szCs w:val="24"/>
          <w:lang w:val="en-GB" w:eastAsia="en-GB"/>
        </w:rPr>
        <w:t xml:space="preserve">Կոնվենցիայի 14-րդ հոդվածը սահմանում է, որ </w:t>
      </w:r>
    </w:p>
    <w:p w:rsidR="002E49F1" w:rsidRPr="002E49F1" w:rsidRDefault="002E49F1" w:rsidP="00842D7D">
      <w:pPr>
        <w:spacing w:after="0"/>
        <w:ind w:firstLine="708"/>
        <w:jc w:val="both"/>
        <w:rPr>
          <w:rFonts w:ascii="Sylfaen" w:eastAsia="Times New Roman" w:hAnsi="Sylfaen" w:cs="Arial"/>
          <w:i/>
          <w:sz w:val="24"/>
          <w:szCs w:val="24"/>
          <w:lang w:val="en-GB" w:eastAsia="en-GB"/>
        </w:rPr>
      </w:pPr>
    </w:p>
    <w:p w:rsidR="002E49F1" w:rsidRPr="002E49F1" w:rsidRDefault="002E49F1" w:rsidP="002E49F1">
      <w:pPr>
        <w:spacing w:after="0"/>
        <w:jc w:val="both"/>
        <w:rPr>
          <w:rFonts w:ascii="Sylfaen" w:eastAsia="Times New Roman" w:hAnsi="Sylfaen" w:cs="Arial"/>
          <w:sz w:val="24"/>
          <w:szCs w:val="24"/>
          <w:lang w:val="en-GB" w:eastAsia="en-GB"/>
        </w:rPr>
      </w:pPr>
      <w:r w:rsidRPr="002E49F1">
        <w:rPr>
          <w:rFonts w:ascii="Sylfaen" w:eastAsia="Times New Roman" w:hAnsi="Sylfaen" w:cs="Arial"/>
          <w:i/>
          <w:sz w:val="24"/>
          <w:szCs w:val="24"/>
          <w:lang w:val="en-GB" w:eastAsia="en-GB"/>
        </w:rPr>
        <w:t>Սույն Կոնվենցիայում շարադրված իրավունքներից և ազատություններից օգտվելը ապահովվում է առանց խտրականության, այն է` անկախ սեռից, ռասայից, մաշկի գույնից, լեզվից, կրոնից, քաղաքական կամ այլ համոզմունքից, ազգային կամ սոցիալական ծագումից, ազգային փոքրամասնությանը պատկանելուց, գույքային դրությունից, ծննդից կամ այլ դրությունից:</w:t>
      </w:r>
    </w:p>
    <w:p w:rsidR="002E49F1" w:rsidRPr="002E49F1" w:rsidRDefault="002E49F1" w:rsidP="002E49F1">
      <w:pPr>
        <w:spacing w:after="0"/>
        <w:jc w:val="both"/>
        <w:rPr>
          <w:rFonts w:ascii="Sylfaen" w:eastAsia="Times New Roman" w:hAnsi="Sylfaen" w:cs="Arial"/>
          <w:sz w:val="24"/>
          <w:szCs w:val="24"/>
          <w:lang w:val="en-GB" w:eastAsia="en-GB"/>
        </w:rPr>
      </w:pPr>
    </w:p>
    <w:p w:rsidR="002E49F1" w:rsidRPr="002E49F1" w:rsidRDefault="002E49F1" w:rsidP="002E49F1">
      <w:pPr>
        <w:spacing w:after="0"/>
        <w:jc w:val="both"/>
        <w:rPr>
          <w:rFonts w:ascii="Sylfaen" w:eastAsia="Times New Roman" w:hAnsi="Sylfaen" w:cs="Arial"/>
          <w:sz w:val="24"/>
          <w:szCs w:val="24"/>
          <w:lang w:val="en-GB" w:eastAsia="en-GB"/>
        </w:rPr>
      </w:pPr>
      <w:r w:rsidRPr="002E49F1">
        <w:rPr>
          <w:rFonts w:ascii="Sylfaen" w:eastAsia="Times New Roman" w:hAnsi="Sylfaen" w:cs="Arial"/>
          <w:sz w:val="24"/>
          <w:szCs w:val="24"/>
          <w:lang w:val="en-GB" w:eastAsia="en-GB"/>
        </w:rPr>
        <w:t>14-րդ հոդվածն երաշխավորում է խտրականությունից ազատությունը` կապված Կոնվենցիայով երաշխավորվող «</w:t>
      </w:r>
      <w:r w:rsidRPr="002E49F1">
        <w:rPr>
          <w:rFonts w:ascii="Sylfaen" w:eastAsia="Times New Roman" w:hAnsi="Sylfaen" w:cs="Arial"/>
          <w:i/>
          <w:sz w:val="24"/>
          <w:szCs w:val="24"/>
          <w:lang w:val="en-GB" w:eastAsia="en-GB"/>
        </w:rPr>
        <w:t>իրավունքների և ազատությունների</w:t>
      </w:r>
      <w:r w:rsidRPr="002E49F1">
        <w:rPr>
          <w:rFonts w:ascii="Sylfaen" w:eastAsia="Times New Roman" w:hAnsi="Sylfaen" w:cs="Arial"/>
          <w:sz w:val="24"/>
          <w:szCs w:val="24"/>
          <w:lang w:val="en-GB" w:eastAsia="en-GB"/>
        </w:rPr>
        <w:t xml:space="preserve">» հետ: Այն օժանդակ իրավունք է:  Այն չի գործում ինքնուրույն և 14-րդ հոդվածը չի ներգրավվում, մինչև դիմումատուն չմատնանշի անբարենպաստ իրավիճակ, որը կապված է Կոնվենցիայի այլ հոդվածներով պաշտպանվող իրավունքի հետ: Այսպիսով, խտրականությունը, մինչև պատասխանատվության ենթարկվելը, պետք է տեղի ունենա այն իրավունքի համատեքստում, ինչպիսին անձնական կյանքը հարգելու իրավունքն է, խոսքի ազատության իրավունքը: </w:t>
      </w:r>
    </w:p>
    <w:p w:rsidR="002E49F1" w:rsidRPr="002E49F1" w:rsidRDefault="002E49F1" w:rsidP="002E49F1">
      <w:pPr>
        <w:spacing w:after="0"/>
        <w:jc w:val="both"/>
        <w:rPr>
          <w:rFonts w:ascii="Sylfaen" w:eastAsia="Times New Roman" w:hAnsi="Sylfaen" w:cs="Arial"/>
          <w:sz w:val="24"/>
          <w:szCs w:val="24"/>
          <w:lang w:val="en-GB" w:eastAsia="en-GB"/>
        </w:rPr>
      </w:pPr>
    </w:p>
    <w:p w:rsidR="002E49F1" w:rsidRDefault="002E49F1" w:rsidP="002E49F1">
      <w:pPr>
        <w:spacing w:after="0"/>
        <w:jc w:val="both"/>
        <w:rPr>
          <w:rFonts w:ascii="Sylfaen" w:eastAsia="Times New Roman" w:hAnsi="Sylfaen" w:cs="Arial"/>
          <w:b/>
          <w:sz w:val="24"/>
          <w:szCs w:val="24"/>
          <w:lang w:val="en-GB" w:eastAsia="en-GB"/>
        </w:rPr>
      </w:pPr>
      <w:r w:rsidRPr="002E49F1">
        <w:rPr>
          <w:rFonts w:ascii="Sylfaen" w:eastAsia="Times New Roman" w:hAnsi="Sylfaen" w:cs="Arial"/>
          <w:b/>
          <w:sz w:val="24"/>
          <w:szCs w:val="24"/>
          <w:lang w:val="en-GB" w:eastAsia="en-GB"/>
        </w:rPr>
        <w:t>Որոշակի հատկանիշներ</w:t>
      </w:r>
    </w:p>
    <w:p w:rsidR="007F12D5" w:rsidRPr="002E49F1" w:rsidRDefault="007F12D5" w:rsidP="002E49F1">
      <w:pPr>
        <w:spacing w:after="0"/>
        <w:jc w:val="both"/>
        <w:rPr>
          <w:rFonts w:ascii="Sylfaen" w:eastAsia="Times New Roman" w:hAnsi="Sylfaen" w:cs="Arial"/>
          <w:b/>
          <w:sz w:val="24"/>
          <w:szCs w:val="24"/>
          <w:lang w:val="en-GB" w:eastAsia="en-GB"/>
        </w:rPr>
      </w:pPr>
    </w:p>
    <w:p w:rsidR="002E49F1" w:rsidRPr="002E49F1" w:rsidRDefault="002E49F1" w:rsidP="002E49F1">
      <w:pPr>
        <w:spacing w:after="0"/>
        <w:jc w:val="both"/>
        <w:rPr>
          <w:rFonts w:ascii="Sylfaen" w:eastAsia="Cambria" w:hAnsi="Sylfaen" w:cs="Arial"/>
          <w:sz w:val="24"/>
          <w:szCs w:val="24"/>
        </w:rPr>
      </w:pPr>
      <w:r w:rsidRPr="002E49F1">
        <w:rPr>
          <w:rFonts w:ascii="Sylfaen" w:eastAsia="Cambria" w:hAnsi="Sylfaen" w:cs="Arial"/>
          <w:sz w:val="24"/>
          <w:szCs w:val="24"/>
        </w:rPr>
        <w:t xml:space="preserve">Խտրականության հնարավոր կատեգորիաներն անսահման են: Ինչպես երևում է 14-րդ հոդվածի ձևակերպումից, խտրական հիմքերի ցանկն ուղղակի նկարագրական է և ոչ սպառիչ (տե´ս,  </w:t>
      </w:r>
      <w:hyperlink r:id="rId8" w:history="1">
        <w:r w:rsidRPr="002E49F1">
          <w:rPr>
            <w:rFonts w:ascii="Sylfaen" w:eastAsia="Cambria" w:hAnsi="Sylfaen" w:cs="Arial"/>
            <w:i/>
            <w:color w:val="0000FF"/>
            <w:sz w:val="24"/>
            <w:szCs w:val="24"/>
            <w:u w:val="single"/>
          </w:rPr>
          <w:t>Rasmussen v. Denmark</w:t>
        </w:r>
      </w:hyperlink>
      <w:r w:rsidRPr="002E49F1">
        <w:rPr>
          <w:rFonts w:ascii="Sylfaen" w:eastAsia="Cambria" w:hAnsi="Sylfaen" w:cs="Arial"/>
          <w:sz w:val="24"/>
          <w:szCs w:val="24"/>
        </w:rPr>
        <w:t xml:space="preserve"> (ռուսերեն լեզվով՝ </w:t>
      </w:r>
      <w:hyperlink r:id="rId9" w:history="1">
        <w:r w:rsidRPr="002E49F1">
          <w:rPr>
            <w:rFonts w:ascii="Sylfaen" w:eastAsia="Cambria" w:hAnsi="Sylfaen" w:cs="Arial"/>
            <w:color w:val="0000FF"/>
            <w:sz w:val="24"/>
            <w:szCs w:val="24"/>
            <w:u w:val="single"/>
          </w:rPr>
          <w:t>այստեղ</w:t>
        </w:r>
      </w:hyperlink>
      <w:r w:rsidRPr="002E49F1">
        <w:rPr>
          <w:rFonts w:ascii="Sylfaen" w:eastAsia="Cambria" w:hAnsi="Sylfaen" w:cs="Arial"/>
          <w:sz w:val="24"/>
          <w:szCs w:val="24"/>
        </w:rPr>
        <w:t xml:space="preserve">) դիմում թիվ  </w:t>
      </w:r>
      <w:r w:rsidRPr="002E49F1">
        <w:rPr>
          <w:rFonts w:ascii="Sylfaen" w:eastAsia="Cambria" w:hAnsi="Sylfaen" w:cs="Arial"/>
          <w:color w:val="000000"/>
          <w:sz w:val="24"/>
          <w:szCs w:val="24"/>
        </w:rPr>
        <w:t>8777/79, 1984թ. նոյեմբերի 28-ի վճիռ, կետ</w:t>
      </w:r>
      <w:r w:rsidRPr="002E49F1">
        <w:rPr>
          <w:rFonts w:ascii="Sylfaen" w:eastAsia="Cambria" w:hAnsi="Sylfaen" w:cs="Arial"/>
          <w:sz w:val="24"/>
          <w:szCs w:val="24"/>
        </w:rPr>
        <w:t xml:space="preserve"> 34): Ի լրումն 14-րդ հոդվածում նշված հիմքերին` Դատարանն ընդունում է նաև կատերգորիաներ, ինչպիսին հաշմանդամությունն է և սեռական կողմնորոշումը, որոնք չէին քննարկվել այն ժամանակ, երբ ձևակերպվում էր Կոնվենցիան:</w:t>
      </w:r>
    </w:p>
    <w:p w:rsidR="002E49F1" w:rsidRPr="002E49F1" w:rsidRDefault="002E49F1" w:rsidP="002E49F1">
      <w:pPr>
        <w:spacing w:after="0"/>
        <w:jc w:val="both"/>
        <w:rPr>
          <w:rFonts w:ascii="Sylfaen" w:eastAsia="Times New Roman" w:hAnsi="Sylfaen" w:cs="Arial"/>
          <w:sz w:val="24"/>
          <w:szCs w:val="24"/>
          <w:lang w:val="en-GB" w:eastAsia="en-GB"/>
        </w:rPr>
      </w:pPr>
    </w:p>
    <w:p w:rsidR="002E49F1" w:rsidRPr="002E49F1" w:rsidRDefault="002E49F1" w:rsidP="002E49F1">
      <w:pPr>
        <w:spacing w:after="0"/>
        <w:jc w:val="both"/>
        <w:rPr>
          <w:rFonts w:ascii="Sylfaen" w:eastAsia="Times New Roman" w:hAnsi="Sylfaen" w:cs="Arial"/>
          <w:sz w:val="24"/>
          <w:szCs w:val="24"/>
          <w:lang w:val="en-GB" w:eastAsia="en-GB"/>
        </w:rPr>
      </w:pPr>
      <w:r w:rsidRPr="002E49F1">
        <w:rPr>
          <w:rFonts w:ascii="Sylfaen" w:eastAsia="Times New Roman" w:hAnsi="Sylfaen" w:cs="Arial"/>
          <w:sz w:val="24"/>
          <w:szCs w:val="24"/>
          <w:lang w:val="en-GB" w:eastAsia="en-GB"/>
        </w:rPr>
        <w:t xml:space="preserve">Այլ հոդվածների պես 14-րդ հոդվածը պաշտպանում է անհատների և ոչ խմբերի իրավունքները: Յուրաքանչյուր դիմումատու պետք է կարողանա ապացուցել, որ նա անձամբ խախտման զոհ է:  </w:t>
      </w:r>
    </w:p>
    <w:p w:rsidR="002E49F1" w:rsidRPr="002E49F1" w:rsidRDefault="002E49F1" w:rsidP="002E49F1">
      <w:pPr>
        <w:spacing w:after="0"/>
        <w:jc w:val="both"/>
        <w:rPr>
          <w:rFonts w:ascii="Sylfaen" w:eastAsia="Times New Roman" w:hAnsi="Sylfaen" w:cs="Arial"/>
          <w:sz w:val="24"/>
          <w:szCs w:val="24"/>
          <w:lang w:val="en-GB" w:eastAsia="en-GB"/>
        </w:rPr>
      </w:pPr>
    </w:p>
    <w:p w:rsidR="002E49F1" w:rsidRPr="002E49F1" w:rsidRDefault="002E49F1" w:rsidP="002E49F1">
      <w:pPr>
        <w:spacing w:after="0"/>
        <w:jc w:val="both"/>
        <w:rPr>
          <w:rFonts w:ascii="Sylfaen" w:eastAsia="Times New Roman" w:hAnsi="Sylfaen" w:cs="Arial"/>
          <w:b/>
          <w:sz w:val="24"/>
          <w:szCs w:val="24"/>
          <w:lang w:val="en-GB" w:eastAsia="en-GB"/>
        </w:rPr>
      </w:pPr>
      <w:r w:rsidRPr="002E49F1">
        <w:rPr>
          <w:rFonts w:ascii="Sylfaen" w:eastAsia="Times New Roman" w:hAnsi="Sylfaen" w:cs="Arial"/>
          <w:b/>
          <w:sz w:val="24"/>
          <w:szCs w:val="24"/>
          <w:lang w:val="en-GB" w:eastAsia="en-GB"/>
        </w:rPr>
        <w:t xml:space="preserve">Էության խախտման պահանջի բացակայություն </w:t>
      </w:r>
    </w:p>
    <w:p w:rsidR="002E49F1" w:rsidRPr="002E49F1" w:rsidRDefault="002E49F1" w:rsidP="002E49F1">
      <w:pPr>
        <w:spacing w:after="0"/>
        <w:jc w:val="both"/>
        <w:rPr>
          <w:rFonts w:ascii="Sylfaen" w:eastAsia="Times New Roman" w:hAnsi="Sylfaen" w:cs="Arial"/>
          <w:sz w:val="24"/>
          <w:szCs w:val="24"/>
          <w:lang w:val="en-GB" w:eastAsia="en-GB"/>
        </w:rPr>
      </w:pPr>
      <w:r w:rsidRPr="002E49F1">
        <w:rPr>
          <w:rFonts w:ascii="Sylfaen" w:eastAsia="Times New Roman" w:hAnsi="Sylfaen" w:cs="Arial"/>
          <w:sz w:val="24"/>
          <w:szCs w:val="24"/>
          <w:lang w:val="en-GB" w:eastAsia="en-GB"/>
        </w:rPr>
        <w:lastRenderedPageBreak/>
        <w:t>Չնայած 14-րդ հոդվածն օժանդակ իրավունք է, Դատարանը կարիք չունի գտնել հիմքում ընկած իրավունքի խախտում: Եթե բողոքն ընդգրկվում է  Կոնվենցիայի մեկ այլ իրավունքի շրջանակներում, այդ ժամանակ Դատարանը կարող է ուսումնասիրել 14-րդ հոդվածի խախտման մասին պնդումները: Օրինակ`</w:t>
      </w:r>
      <w:r w:rsidRPr="002E49F1">
        <w:rPr>
          <w:rFonts w:ascii="Sylfaen" w:eastAsia="Times New Roman" w:hAnsi="Sylfaen" w:cs="Arial"/>
          <w:i/>
          <w:sz w:val="24"/>
          <w:szCs w:val="24"/>
          <w:lang w:val="en-GB" w:eastAsia="en-GB"/>
        </w:rPr>
        <w:t>Աբդուլազիզ, Կաբալես և Բալկանդալին ընդդեմ Մեծ Բրիտանիայի</w:t>
      </w:r>
      <w:r w:rsidRPr="002E49F1">
        <w:rPr>
          <w:rFonts w:ascii="Sylfaen" w:eastAsia="Times New Roman" w:hAnsi="Sylfaen" w:cs="Arial"/>
          <w:sz w:val="24"/>
          <w:szCs w:val="24"/>
          <w:lang w:val="en-GB" w:eastAsia="en-GB"/>
        </w:rPr>
        <w:t xml:space="preserve"> [</w:t>
      </w:r>
      <w:hyperlink r:id="rId10" w:history="1">
        <w:r w:rsidRPr="002E49F1">
          <w:rPr>
            <w:rFonts w:ascii="Sylfaen" w:eastAsia="Times New Roman" w:hAnsi="Sylfaen" w:cs="Arial"/>
            <w:i/>
            <w:color w:val="0000FF"/>
            <w:sz w:val="24"/>
            <w:szCs w:val="24"/>
            <w:u w:val="single"/>
            <w:lang w:val="en-GB" w:eastAsia="en-GB"/>
          </w:rPr>
          <w:t>Abdulaziz, Cabales, and Balkandali v. United Kingdom</w:t>
        </w:r>
      </w:hyperlink>
      <w:r w:rsidRPr="002E49F1">
        <w:rPr>
          <w:rFonts w:ascii="Sylfaen" w:eastAsia="Times New Roman" w:hAnsi="Sylfaen" w:cs="Times New Roman"/>
          <w:sz w:val="24"/>
          <w:szCs w:val="24"/>
          <w:lang w:val="en-GB" w:eastAsia="en-GB"/>
        </w:rPr>
        <w:t>] (</w:t>
      </w:r>
      <w:r w:rsidRPr="002E49F1">
        <w:rPr>
          <w:rFonts w:ascii="Sylfaen" w:eastAsia="Times New Roman" w:hAnsi="Sylfaen" w:cs="Arial"/>
          <w:sz w:val="24"/>
          <w:szCs w:val="24"/>
          <w:lang w:val="en-GB" w:eastAsia="en-GB"/>
        </w:rPr>
        <w:t xml:space="preserve">(1985) 7 E.H.R.R. 471) (տե՛ս </w:t>
      </w:r>
      <w:hyperlink r:id="rId11" w:history="1">
        <w:r w:rsidRPr="002E49F1">
          <w:rPr>
            <w:rFonts w:ascii="Sylfaen" w:eastAsia="Times New Roman" w:hAnsi="Sylfaen" w:cs="Arial"/>
            <w:color w:val="0000FF"/>
            <w:sz w:val="24"/>
            <w:szCs w:val="24"/>
            <w:u w:val="single"/>
            <w:lang w:val="en-GB" w:eastAsia="en-GB"/>
          </w:rPr>
          <w:t>ռուսերեն</w:t>
        </w:r>
      </w:hyperlink>
      <w:r w:rsidRPr="002E49F1">
        <w:rPr>
          <w:rFonts w:ascii="Sylfaen" w:eastAsia="Times New Roman" w:hAnsi="Sylfaen" w:cs="Arial"/>
          <w:sz w:val="24"/>
          <w:szCs w:val="24"/>
          <w:lang w:val="en-GB" w:eastAsia="en-GB"/>
        </w:rPr>
        <w:t xml:space="preserve">) գործում դիմումատուները բողոքում էին, որ  վերաբերմունքի տարբերությունը, որը ցուցաբերվում է կանանց/հարսնացուների նկատմամբ, որոնք ցանկանում են միանալ իրենց ամուսիններին/փեսացուներին, նվազ բարենպաստ է, քան այն ամուսինների/փեսացուների նկատմամբ, որոնք ցանկանում են միանալ իրենց կանանց: Նրանք պնդում էին, որ տեղի է ունեցել 8-րդ հոդվածի խախտում` 14-րդ հոդվածի համակցությամբ:  Դատարանը համարեց, որ տեղի չի ունեցել 8-րդ հոդվածի խախտում, քանի որ դիմումատուները, համաձայն Կոնվենցիայի, իրավունք չունեն ընտրել իրենց կացության վայրը  և իրենց ընտանիքը պետք է կազմեն Թուրքիայում, Պակիստանում և այլուր: Սակայն, բողոքն ընկնում էր 8-րդ հոդվածի շրջանակներում, և Դատարանը գործը լուծեց ի օգուտ դիմումատուների` հաշվի առնելով  նույն իրավիճակներում ամուսինների և կանանց միջև խտրական վերաբերմունքը: </w:t>
      </w:r>
    </w:p>
    <w:p w:rsidR="002E49F1" w:rsidRDefault="002E49F1" w:rsidP="002E49F1">
      <w:pPr>
        <w:spacing w:after="0"/>
        <w:jc w:val="both"/>
        <w:rPr>
          <w:rFonts w:ascii="Sylfaen" w:eastAsia="Times New Roman" w:hAnsi="Sylfaen" w:cs="Arial"/>
          <w:b/>
          <w:bCs/>
          <w:sz w:val="24"/>
          <w:szCs w:val="24"/>
          <w:lang w:val="en-GB" w:eastAsia="en-GB"/>
        </w:rPr>
      </w:pPr>
    </w:p>
    <w:p w:rsidR="002E49F1" w:rsidRPr="002E49F1" w:rsidRDefault="002E49F1" w:rsidP="002E49F1">
      <w:pPr>
        <w:spacing w:after="0"/>
        <w:jc w:val="both"/>
        <w:rPr>
          <w:rFonts w:ascii="Sylfaen" w:eastAsia="Times New Roman" w:hAnsi="Sylfaen" w:cs="Arial"/>
          <w:b/>
          <w:sz w:val="24"/>
          <w:szCs w:val="24"/>
          <w:lang w:val="en-GB" w:eastAsia="en-GB"/>
        </w:rPr>
      </w:pPr>
      <w:r w:rsidRPr="002E49F1">
        <w:rPr>
          <w:rFonts w:ascii="Sylfaen" w:eastAsia="Times New Roman" w:hAnsi="Sylfaen" w:cs="Arial"/>
          <w:b/>
          <w:bCs/>
          <w:sz w:val="24"/>
          <w:szCs w:val="24"/>
          <w:lang w:val="en-GB" w:eastAsia="en-GB"/>
        </w:rPr>
        <w:t>Ուղղակի խտրականություն` համանման վերաբերմունք համանման իրավիճակներում գտնվող անձնանց նկատմամբ</w:t>
      </w:r>
      <w:r w:rsidRPr="002E49F1">
        <w:rPr>
          <w:rFonts w:ascii="Sylfaen" w:eastAsia="Times New Roman" w:hAnsi="Sylfaen" w:cs="Arial"/>
          <w:b/>
          <w:sz w:val="24"/>
          <w:szCs w:val="24"/>
          <w:lang w:val="en-GB" w:eastAsia="en-GB"/>
        </w:rPr>
        <w:t xml:space="preserve"> </w:t>
      </w:r>
    </w:p>
    <w:p w:rsidR="002E49F1" w:rsidRPr="002E49F1" w:rsidRDefault="002E49F1" w:rsidP="002E49F1">
      <w:pPr>
        <w:spacing w:after="0"/>
        <w:jc w:val="both"/>
        <w:rPr>
          <w:rFonts w:ascii="Sylfaen" w:eastAsia="Times New Roman" w:hAnsi="Sylfaen" w:cs="Arial"/>
          <w:b/>
          <w:sz w:val="24"/>
          <w:szCs w:val="24"/>
          <w:lang w:val="en-GB" w:eastAsia="en-GB"/>
        </w:rPr>
      </w:pPr>
    </w:p>
    <w:p w:rsidR="002E49F1" w:rsidRPr="002E49F1" w:rsidRDefault="002E49F1" w:rsidP="002E49F1">
      <w:pPr>
        <w:spacing w:after="0"/>
        <w:jc w:val="both"/>
        <w:rPr>
          <w:rFonts w:ascii="Sylfaen" w:eastAsia="Times New Roman" w:hAnsi="Sylfaen" w:cs="Arial"/>
          <w:sz w:val="24"/>
          <w:szCs w:val="24"/>
          <w:lang w:val="en-GB" w:eastAsia="en-GB"/>
        </w:rPr>
      </w:pPr>
      <w:r w:rsidRPr="002E49F1">
        <w:rPr>
          <w:rFonts w:ascii="Sylfaen" w:eastAsia="Times New Roman" w:hAnsi="Sylfaen" w:cs="Arial"/>
          <w:sz w:val="24"/>
          <w:szCs w:val="24"/>
          <w:lang w:val="en-GB" w:eastAsia="en-GB"/>
        </w:rPr>
        <w:t xml:space="preserve">Ըստ էության` 14-րդ հոդվածն երաշխավորում է, որ համանման իրավիճակներում գտնվող անձանց նկատմամբ ցուցաբերվի համանման վերաբերմունք Կոնվենցիայի իրավունքների հետ կապված` բացառությամբ այն դեպքերի, երբ տարբերակված վերաբերմունքն օբյեկտիվորեն և ողջամտորեն հիմնավորված է: </w:t>
      </w:r>
    </w:p>
    <w:p w:rsidR="002E49F1" w:rsidRPr="002E49F1" w:rsidRDefault="002E49F1" w:rsidP="002E49F1">
      <w:pPr>
        <w:spacing w:after="0"/>
        <w:jc w:val="both"/>
        <w:rPr>
          <w:rFonts w:ascii="Sylfaen" w:eastAsia="Times New Roman" w:hAnsi="Sylfaen" w:cs="Arial"/>
          <w:sz w:val="24"/>
          <w:szCs w:val="24"/>
          <w:lang w:val="en-GB" w:eastAsia="en-GB"/>
        </w:rPr>
      </w:pPr>
    </w:p>
    <w:p w:rsidR="002E49F1" w:rsidRPr="002E49F1" w:rsidRDefault="002E49F1" w:rsidP="002E49F1">
      <w:pPr>
        <w:spacing w:after="0"/>
        <w:jc w:val="both"/>
        <w:rPr>
          <w:rFonts w:ascii="Sylfaen" w:eastAsia="Times New Roman" w:hAnsi="Sylfaen" w:cs="Arial"/>
          <w:sz w:val="24"/>
          <w:szCs w:val="24"/>
          <w:lang w:val="en-GB" w:eastAsia="en-GB"/>
        </w:rPr>
      </w:pPr>
      <w:r w:rsidRPr="002E49F1">
        <w:rPr>
          <w:rFonts w:ascii="Sylfaen" w:eastAsia="Times New Roman" w:hAnsi="Sylfaen" w:cs="Arial"/>
          <w:sz w:val="24"/>
          <w:szCs w:val="24"/>
          <w:lang w:val="en-GB" w:eastAsia="en-GB"/>
        </w:rPr>
        <w:t xml:space="preserve">Հետևյալ գործերը լավ օրինակներ են ցույց տալու համար այն իրավիճակները, որոնց դեպքում ՄԻԵԴ-ը համարել է, որ վերաբերմունքի տարբերությունն ուղղակիորեն խտրական է` </w:t>
      </w:r>
    </w:p>
    <w:p w:rsidR="002E49F1" w:rsidRPr="002E49F1" w:rsidRDefault="002E49F1" w:rsidP="002E49F1">
      <w:pPr>
        <w:spacing w:after="0"/>
        <w:jc w:val="both"/>
        <w:rPr>
          <w:rFonts w:ascii="Sylfaen" w:eastAsia="Times New Roman" w:hAnsi="Sylfaen" w:cs="Arial"/>
          <w:sz w:val="24"/>
          <w:szCs w:val="24"/>
          <w:lang w:val="en-GB" w:eastAsia="en-GB"/>
        </w:rPr>
      </w:pPr>
    </w:p>
    <w:p w:rsidR="002E49F1" w:rsidRPr="002E49F1" w:rsidRDefault="002E49F1" w:rsidP="002E49F1">
      <w:pPr>
        <w:numPr>
          <w:ilvl w:val="0"/>
          <w:numId w:val="3"/>
        </w:numPr>
        <w:spacing w:after="0"/>
        <w:jc w:val="both"/>
        <w:rPr>
          <w:rFonts w:ascii="Sylfaen" w:eastAsia="Times New Roman" w:hAnsi="Sylfaen" w:cs="Arial"/>
          <w:sz w:val="24"/>
          <w:szCs w:val="24"/>
          <w:lang w:val="en-GB" w:eastAsia="en-GB"/>
        </w:rPr>
      </w:pPr>
      <w:r w:rsidRPr="002E49F1">
        <w:rPr>
          <w:rFonts w:ascii="Sylfaen" w:eastAsia="Times New Roman" w:hAnsi="Sylfaen" w:cs="Arial"/>
          <w:i/>
          <w:sz w:val="24"/>
          <w:szCs w:val="24"/>
          <w:lang w:val="en-GB" w:eastAsia="en-GB"/>
        </w:rPr>
        <w:t>Հոֆմանն ընդդեմ Ավստրիայի</w:t>
      </w:r>
      <w:r w:rsidRPr="002E49F1">
        <w:rPr>
          <w:rFonts w:ascii="Sylfaen" w:eastAsia="Times New Roman" w:hAnsi="Sylfaen" w:cs="Arial"/>
          <w:sz w:val="24"/>
          <w:szCs w:val="24"/>
          <w:lang w:val="en-GB" w:eastAsia="en-GB"/>
        </w:rPr>
        <w:t xml:space="preserve"> [</w:t>
      </w:r>
      <w:hyperlink r:id="rId12" w:history="1">
        <w:r w:rsidRPr="002E49F1">
          <w:rPr>
            <w:rFonts w:ascii="Sylfaen" w:eastAsia="Times New Roman" w:hAnsi="Sylfaen" w:cs="Arial"/>
            <w:i/>
            <w:color w:val="0000FF"/>
            <w:sz w:val="24"/>
            <w:szCs w:val="24"/>
            <w:u w:val="single"/>
            <w:lang w:val="en-GB" w:eastAsia="en-GB"/>
          </w:rPr>
          <w:t>Hoffmann v. Austria</w:t>
        </w:r>
      </w:hyperlink>
      <w:r w:rsidRPr="002E49F1">
        <w:rPr>
          <w:rFonts w:ascii="Sylfaen" w:eastAsia="Times New Roman" w:hAnsi="Sylfaen" w:cs="Arial"/>
          <w:sz w:val="24"/>
          <w:szCs w:val="24"/>
          <w:lang w:val="en-GB" w:eastAsia="en-GB"/>
        </w:rPr>
        <w:t xml:space="preserve">, (1994) 17 E.H.R.R. 293] գործում մայրը, որն Եհովայի վկա էր, երեխայի խնամակալության հարցում արժանացել էր այլ վերաբերմունքի իր կրոնի հետ կապված, </w:t>
      </w:r>
    </w:p>
    <w:p w:rsidR="002E49F1" w:rsidRPr="002E49F1" w:rsidRDefault="002E49F1" w:rsidP="002E49F1">
      <w:pPr>
        <w:numPr>
          <w:ilvl w:val="0"/>
          <w:numId w:val="3"/>
        </w:numPr>
        <w:spacing w:after="0"/>
        <w:jc w:val="both"/>
        <w:rPr>
          <w:rFonts w:ascii="Sylfaen" w:eastAsia="Times New Roman" w:hAnsi="Sylfaen" w:cs="Arial"/>
          <w:sz w:val="24"/>
          <w:szCs w:val="24"/>
          <w:lang w:val="en-GB" w:eastAsia="en-GB"/>
        </w:rPr>
      </w:pPr>
      <w:r w:rsidRPr="002E49F1">
        <w:rPr>
          <w:rFonts w:ascii="Sylfaen" w:eastAsia="Times New Roman" w:hAnsi="Sylfaen" w:cs="Arial"/>
          <w:i/>
          <w:sz w:val="24"/>
          <w:szCs w:val="24"/>
          <w:lang w:val="en-GB" w:eastAsia="en-GB"/>
        </w:rPr>
        <w:t>Բելգիայի լեզվաբանական գործում [</w:t>
      </w:r>
      <w:r w:rsidRPr="002E49F1">
        <w:rPr>
          <w:rFonts w:ascii="Sylfaen" w:eastAsia="Times New Roman" w:hAnsi="Sylfaen" w:cs="Arial"/>
          <w:sz w:val="24"/>
          <w:szCs w:val="24"/>
          <w:lang w:val="en-GB" w:eastAsia="en-GB"/>
        </w:rPr>
        <w:t xml:space="preserve"> </w:t>
      </w:r>
      <w:hyperlink r:id="rId13" w:history="1">
        <w:r w:rsidRPr="002E49F1">
          <w:rPr>
            <w:rFonts w:ascii="Sylfaen" w:eastAsia="Times New Roman" w:hAnsi="Sylfaen" w:cs="Arial"/>
            <w:i/>
            <w:color w:val="0000FF"/>
            <w:sz w:val="24"/>
            <w:szCs w:val="24"/>
            <w:u w:val="single"/>
            <w:lang w:val="en-GB" w:eastAsia="en-GB"/>
          </w:rPr>
          <w:t>Belgian linguistic</w:t>
        </w:r>
        <w:r w:rsidRPr="002E49F1">
          <w:rPr>
            <w:rFonts w:ascii="Sylfaen" w:eastAsia="Times New Roman" w:hAnsi="Sylfaen" w:cs="Arial"/>
            <w:color w:val="0000FF"/>
            <w:sz w:val="24"/>
            <w:szCs w:val="24"/>
            <w:u w:val="single"/>
            <w:lang w:val="en-GB" w:eastAsia="en-GB"/>
          </w:rPr>
          <w:t xml:space="preserve"> </w:t>
        </w:r>
        <w:r w:rsidRPr="002E49F1">
          <w:rPr>
            <w:rFonts w:ascii="Sylfaen" w:eastAsia="Times New Roman" w:hAnsi="Sylfaen" w:cs="Arial"/>
            <w:i/>
            <w:color w:val="0000FF"/>
            <w:sz w:val="24"/>
            <w:szCs w:val="24"/>
            <w:u w:val="single"/>
            <w:lang w:val="en-GB" w:eastAsia="en-GB"/>
          </w:rPr>
          <w:t>case</w:t>
        </w:r>
      </w:hyperlink>
      <w:r w:rsidRPr="002E49F1">
        <w:rPr>
          <w:rFonts w:ascii="Sylfaen" w:eastAsia="Times New Roman" w:hAnsi="Sylfaen" w:cs="Arial"/>
          <w:sz w:val="24"/>
          <w:szCs w:val="24"/>
          <w:lang w:val="en-GB" w:eastAsia="en-GB"/>
        </w:rPr>
        <w:t xml:space="preserve"> (1970) 1 E.H.R.R. 252] </w:t>
      </w:r>
      <w:hyperlink r:id="rId14" w:history="1">
        <w:r w:rsidRPr="002E49F1">
          <w:rPr>
            <w:rFonts w:ascii="Sylfaen" w:eastAsia="Times New Roman" w:hAnsi="Sylfaen" w:cs="Arial"/>
            <w:color w:val="0000FF"/>
            <w:sz w:val="24"/>
            <w:szCs w:val="24"/>
            <w:u w:val="single"/>
            <w:lang w:val="en-GB" w:eastAsia="en-GB"/>
          </w:rPr>
          <w:t>(ռուսերեն)</w:t>
        </w:r>
      </w:hyperlink>
      <w:r w:rsidRPr="002E49F1">
        <w:rPr>
          <w:rFonts w:ascii="Sylfaen" w:eastAsia="Times New Roman" w:hAnsi="Sylfaen" w:cs="Arial"/>
          <w:sz w:val="24"/>
          <w:szCs w:val="24"/>
          <w:lang w:val="en-GB" w:eastAsia="en-GB"/>
        </w:rPr>
        <w:t xml:space="preserve"> ֆլանմանդախոս համայնքներում ապրող ֆրանսախոս երեխաների </w:t>
      </w:r>
      <w:r w:rsidRPr="002E49F1">
        <w:rPr>
          <w:rFonts w:ascii="Sylfaen" w:eastAsia="Times New Roman" w:hAnsi="Sylfaen" w:cs="Arial"/>
          <w:sz w:val="24"/>
          <w:szCs w:val="24"/>
          <w:lang w:val="en-GB" w:eastAsia="en-GB"/>
        </w:rPr>
        <w:lastRenderedPageBreak/>
        <w:t>նկատմամբ վերաբերմունքն այլն էր, քան ֆրանսախոս համայնքներում ֆլամանդախոս երեխաների նկատմամբ վերաբերմունքը:</w:t>
      </w:r>
    </w:p>
    <w:p w:rsidR="007F12D5" w:rsidRDefault="007F12D5" w:rsidP="002E49F1">
      <w:pPr>
        <w:spacing w:after="0"/>
        <w:jc w:val="both"/>
        <w:rPr>
          <w:rFonts w:ascii="Sylfaen" w:eastAsia="Times New Roman" w:hAnsi="Sylfaen" w:cs="Arial"/>
          <w:sz w:val="24"/>
          <w:szCs w:val="24"/>
          <w:lang w:val="en-GB" w:eastAsia="en-GB"/>
        </w:rPr>
      </w:pPr>
    </w:p>
    <w:p w:rsidR="002E49F1" w:rsidRPr="002E49F1" w:rsidRDefault="002E49F1" w:rsidP="002E49F1">
      <w:pPr>
        <w:spacing w:after="0"/>
        <w:jc w:val="both"/>
        <w:rPr>
          <w:rFonts w:ascii="Sylfaen" w:eastAsia="Times New Roman" w:hAnsi="Sylfaen" w:cs="Arial"/>
          <w:sz w:val="24"/>
          <w:szCs w:val="24"/>
          <w:lang w:val="en-GB" w:eastAsia="en-GB"/>
        </w:rPr>
      </w:pPr>
      <w:r w:rsidRPr="002E49F1">
        <w:rPr>
          <w:rFonts w:ascii="Sylfaen" w:eastAsia="Times New Roman" w:hAnsi="Sylfaen" w:cs="Arial"/>
          <w:sz w:val="24"/>
          <w:szCs w:val="24"/>
          <w:lang w:val="en-GB" w:eastAsia="en-GB"/>
        </w:rPr>
        <w:t xml:space="preserve">Ավելի վերջերս ուսումնասիրված </w:t>
      </w:r>
      <w:r w:rsidRPr="002E49F1">
        <w:rPr>
          <w:rFonts w:ascii="Sylfaen" w:eastAsia="Times New Roman" w:hAnsi="Sylfaen" w:cs="Arial"/>
          <w:i/>
          <w:sz w:val="24"/>
          <w:szCs w:val="24"/>
          <w:lang w:val="en-GB" w:eastAsia="en-GB"/>
        </w:rPr>
        <w:t xml:space="preserve"> Մույնոս Դիասն ընդդեմ Իսպանիայի [</w:t>
      </w:r>
      <w:r w:rsidRPr="002E49F1">
        <w:rPr>
          <w:rFonts w:ascii="Sylfaen" w:eastAsia="Times New Roman" w:hAnsi="Sylfaen" w:cs="Arial"/>
          <w:sz w:val="24"/>
          <w:szCs w:val="24"/>
          <w:lang w:val="en-GB" w:eastAsia="en-GB"/>
        </w:rPr>
        <w:t xml:space="preserve"> </w:t>
      </w:r>
      <w:hyperlink r:id="rId15" w:history="1">
        <w:r w:rsidRPr="002E49F1">
          <w:rPr>
            <w:rFonts w:ascii="Sylfaen" w:eastAsia="Times New Roman" w:hAnsi="Sylfaen" w:cs="Arial"/>
            <w:i/>
            <w:color w:val="0000FF"/>
            <w:sz w:val="24"/>
            <w:szCs w:val="24"/>
            <w:u w:val="single"/>
            <w:lang w:val="en-GB" w:eastAsia="en-GB"/>
          </w:rPr>
          <w:t>Muñoz Díaz v. Spain</w:t>
        </w:r>
      </w:hyperlink>
      <w:r w:rsidRPr="002E49F1">
        <w:rPr>
          <w:rFonts w:ascii="Sylfaen" w:eastAsia="Times New Roman" w:hAnsi="Sylfaen" w:cs="Times New Roman"/>
          <w:sz w:val="24"/>
          <w:szCs w:val="24"/>
          <w:lang w:val="en-GB" w:eastAsia="en-GB"/>
        </w:rPr>
        <w:t>]</w:t>
      </w:r>
      <w:r w:rsidRPr="002E49F1">
        <w:rPr>
          <w:rFonts w:ascii="Sylfaen" w:eastAsia="Times New Roman" w:hAnsi="Sylfaen" w:cs="Arial"/>
          <w:sz w:val="24"/>
          <w:szCs w:val="24"/>
          <w:lang w:val="en-GB" w:eastAsia="en-GB"/>
        </w:rPr>
        <w:t xml:space="preserve"> (դիմում թիվ 49151/07, 2010թ. մարտի 8-ի վճիռ) գործում Դատարանն որոշեց, որ տեղի էր ունեցել 14-րդ հոդվածի խախտում թիվ 1 Արձանագրության 1-ին հոդվածի հետ համատեղ (ունեցվածքի խախաղ տնօրինման իրավունք)` հաշվի առնելով այն հանգամանքները, որոնցում Պետությունը մերժել էր ճանաչել գնչու կնոջ ամուսնությունը (որն իրականացվել էր գնչուական մշակութային ավանդույթների  համաձայն)  և, որպես հետևանք, մերժել էր նրան հատկացնել կերակրողի մահվանից հետո ընտանիքի անդամներին տրամադրվող  թոշակը, որի իրավունքը նա կունենար, եթե նա ամուսնացած էր լիներ իսպանական օրենսդրության համաձայն: </w:t>
      </w:r>
    </w:p>
    <w:p w:rsidR="002E49F1" w:rsidRPr="002E49F1" w:rsidRDefault="002E49F1" w:rsidP="002E49F1">
      <w:pPr>
        <w:spacing w:after="0"/>
        <w:jc w:val="both"/>
        <w:rPr>
          <w:rFonts w:ascii="Sylfaen" w:eastAsia="Times New Roman" w:hAnsi="Sylfaen" w:cs="Arial"/>
          <w:sz w:val="24"/>
          <w:szCs w:val="24"/>
          <w:lang w:val="en-GB" w:eastAsia="en-GB"/>
        </w:rPr>
      </w:pPr>
    </w:p>
    <w:p w:rsidR="002E49F1" w:rsidRPr="002E49F1" w:rsidRDefault="002E49F1" w:rsidP="002E49F1">
      <w:pPr>
        <w:autoSpaceDE w:val="0"/>
        <w:autoSpaceDN w:val="0"/>
        <w:adjustRightInd w:val="0"/>
        <w:spacing w:after="0"/>
        <w:jc w:val="both"/>
        <w:rPr>
          <w:rFonts w:ascii="Sylfaen" w:eastAsia="Times New Roman" w:hAnsi="Sylfaen" w:cs="Arial"/>
          <w:sz w:val="24"/>
          <w:szCs w:val="24"/>
          <w:lang w:val="en-GB" w:eastAsia="en-GB"/>
        </w:rPr>
      </w:pPr>
      <w:r w:rsidRPr="002E49F1">
        <w:rPr>
          <w:rFonts w:ascii="Sylfaen" w:eastAsia="Times New Roman" w:hAnsi="Sylfaen" w:cs="Arial"/>
          <w:i/>
          <w:sz w:val="24"/>
          <w:szCs w:val="24"/>
          <w:lang w:val="en-GB" w:eastAsia="en-GB"/>
        </w:rPr>
        <w:t>Սեդիչը և Ֆինչին ընդդեմ Բոսնիայի և Հերցոգովինայի [</w:t>
      </w:r>
      <w:hyperlink r:id="rId16" w:history="1">
        <w:r w:rsidRPr="002E49F1">
          <w:rPr>
            <w:rFonts w:ascii="Sylfaen" w:eastAsia="Times New Roman" w:hAnsi="Sylfaen" w:cs="Arial"/>
            <w:i/>
            <w:color w:val="0000FF"/>
            <w:sz w:val="24"/>
            <w:szCs w:val="24"/>
            <w:u w:val="single"/>
            <w:lang w:val="en-GB" w:eastAsia="en-GB"/>
          </w:rPr>
          <w:t>Sedjić and Finci v. Bosnia and Herzegovina</w:t>
        </w:r>
        <w:r w:rsidRPr="002E49F1">
          <w:rPr>
            <w:rFonts w:ascii="Sylfaen" w:eastAsia="Times New Roman" w:hAnsi="Sylfaen" w:cs="Arial"/>
            <w:color w:val="0000FF"/>
            <w:sz w:val="24"/>
            <w:szCs w:val="24"/>
            <w:u w:val="single"/>
            <w:lang w:val="en-GB" w:eastAsia="en-GB"/>
          </w:rPr>
          <w:t>,</w:t>
        </w:r>
      </w:hyperlink>
      <w:r w:rsidRPr="002E49F1">
        <w:rPr>
          <w:rFonts w:ascii="Sylfaen" w:eastAsia="Times New Roman" w:hAnsi="Sylfaen" w:cs="Arial"/>
          <w:sz w:val="24"/>
          <w:szCs w:val="24"/>
          <w:lang w:val="en-GB" w:eastAsia="en-GB"/>
        </w:rPr>
        <w:t xml:space="preserve"> դիմում թիվ 27996/06 և 34836/06, 2009թ. դեկտեմբերի 22 վճիռ]  Մեծ պալատն որոշեց, որ թիվ 12 Արձանագրության 1-ին հոդվածը խախտվել էր այն հանգամանքներում, երբ, սահմանադրական դրույթների համաձայն, գնչուական և հրեական ծագման անձանց նկատմամբ ցուցաբերվում էր տարբերակված վերաբերմունք` արգելելով նրանց Բոսնիայի և Հերցոգովինիայի խորհրդարանական և նախագահական ընտրություններին իրենց թեկնածություն ներկայացնել: </w:t>
      </w:r>
    </w:p>
    <w:p w:rsidR="002E49F1" w:rsidRPr="002E49F1" w:rsidRDefault="002E49F1" w:rsidP="002E49F1">
      <w:pPr>
        <w:spacing w:after="0"/>
        <w:jc w:val="both"/>
        <w:rPr>
          <w:rFonts w:ascii="Sylfaen" w:eastAsia="Times New Roman" w:hAnsi="Sylfaen" w:cs="Arial"/>
          <w:sz w:val="24"/>
          <w:szCs w:val="24"/>
          <w:lang w:val="en-GB" w:eastAsia="en-GB"/>
        </w:rPr>
      </w:pPr>
    </w:p>
    <w:p w:rsidR="002E49F1" w:rsidRPr="002E49F1" w:rsidRDefault="002E49F1" w:rsidP="002E49F1">
      <w:pPr>
        <w:spacing w:after="0"/>
        <w:jc w:val="both"/>
        <w:rPr>
          <w:rFonts w:ascii="Sylfaen" w:eastAsia="Times New Roman" w:hAnsi="Sylfaen" w:cs="Arial"/>
          <w:sz w:val="24"/>
          <w:szCs w:val="24"/>
          <w:lang w:val="en-GB" w:eastAsia="en-GB"/>
        </w:rPr>
      </w:pPr>
      <w:r w:rsidRPr="002E49F1">
        <w:rPr>
          <w:rFonts w:ascii="Sylfaen" w:eastAsia="Times New Roman" w:hAnsi="Sylfaen" w:cs="Arial"/>
          <w:i/>
          <w:sz w:val="24"/>
          <w:szCs w:val="24"/>
          <w:lang w:val="en-GB" w:eastAsia="en-GB"/>
        </w:rPr>
        <w:t>Պարասկևա Թոդորովան ընդդեմ Բուլղարիայի [</w:t>
      </w:r>
      <w:r w:rsidRPr="002E49F1">
        <w:rPr>
          <w:rFonts w:ascii="Sylfaen" w:eastAsia="Times New Roman" w:hAnsi="Sylfaen" w:cs="Arial"/>
          <w:sz w:val="24"/>
          <w:szCs w:val="24"/>
          <w:lang w:val="en-GB" w:eastAsia="en-GB"/>
        </w:rPr>
        <w:t xml:space="preserve"> </w:t>
      </w:r>
      <w:hyperlink r:id="rId17" w:history="1">
        <w:r w:rsidRPr="002E49F1">
          <w:rPr>
            <w:rFonts w:ascii="Sylfaen" w:eastAsia="Times New Roman" w:hAnsi="Sylfaen" w:cs="Arial"/>
            <w:i/>
            <w:color w:val="0000FF"/>
            <w:sz w:val="24"/>
            <w:szCs w:val="24"/>
            <w:u w:val="single"/>
            <w:lang w:val="en-GB" w:eastAsia="en-GB"/>
          </w:rPr>
          <w:t>Paraskeva Todorova v. Bulgaria</w:t>
        </w:r>
      </w:hyperlink>
      <w:r w:rsidRPr="002E49F1">
        <w:rPr>
          <w:rFonts w:ascii="Sylfaen" w:eastAsia="Times New Roman" w:hAnsi="Sylfaen" w:cs="Arial"/>
          <w:sz w:val="24"/>
          <w:szCs w:val="24"/>
          <w:lang w:val="en-GB" w:eastAsia="en-GB"/>
        </w:rPr>
        <w:t xml:space="preserve"> ] (Դիմում թիվ 37193/07,. մարտի 25-ի վճիռ) գործում Դատարանն որոշեց, որ գնչու կնոջ վերաբերյալ երեք տարի ժամկետով ազատազրկման դատավճիռը խախտում է 14-րդ հոդվածը` 6-րդ հոդվածի համակցությամբ` հաշվի առնելով այն հանգամանքները, որոնց հիման վրա եզրակացվել է, որ դատավճիռը կայացնող դատարանը հստակորեն հաշվի է առնել նրա էթնիկական ծագումը վճիռը կասեցնելու որոշումը կայացնելիս և, այսպիսով, նրա նկատմամբ ցուցաբերել էր տարբերակված վերաբերմունք`  առանց նման գործելակերպի օբյեկտիվ հիմնավորման: </w:t>
      </w:r>
    </w:p>
    <w:p w:rsidR="002E49F1" w:rsidRDefault="002E49F1" w:rsidP="002E49F1">
      <w:pPr>
        <w:spacing w:after="0"/>
        <w:rPr>
          <w:rFonts w:ascii="Sylfaen" w:eastAsia="Times New Roman" w:hAnsi="Sylfaen" w:cs="Arial"/>
          <w:b/>
          <w:i/>
          <w:sz w:val="24"/>
          <w:szCs w:val="24"/>
          <w:lang w:val="en-GB" w:eastAsia="en-GB"/>
        </w:rPr>
      </w:pPr>
    </w:p>
    <w:p w:rsidR="002E49F1" w:rsidRPr="002E49F1" w:rsidRDefault="002E49F1" w:rsidP="002E49F1">
      <w:pPr>
        <w:spacing w:after="0"/>
        <w:rPr>
          <w:rFonts w:ascii="Sylfaen" w:eastAsia="Times New Roman" w:hAnsi="Sylfaen" w:cs="Arial"/>
          <w:b/>
          <w:bCs/>
          <w:sz w:val="24"/>
          <w:szCs w:val="24"/>
          <w:lang w:val="en-GB" w:eastAsia="en-GB"/>
        </w:rPr>
      </w:pPr>
      <w:r w:rsidRPr="002E49F1">
        <w:rPr>
          <w:rFonts w:ascii="Sylfaen" w:eastAsia="Times New Roman" w:hAnsi="Sylfaen" w:cs="Arial"/>
          <w:b/>
          <w:bCs/>
          <w:sz w:val="24"/>
          <w:szCs w:val="24"/>
          <w:lang w:val="en-GB" w:eastAsia="en-GB"/>
        </w:rPr>
        <w:t xml:space="preserve">Անուղղակի խտրականություն` տարբեր վերաբերմունք տարբեր իրավիճակներում գտվող անձանց նկատմամբ </w:t>
      </w:r>
    </w:p>
    <w:p w:rsidR="002E49F1" w:rsidRPr="002E49F1" w:rsidRDefault="002E49F1" w:rsidP="002E49F1">
      <w:pPr>
        <w:spacing w:after="0"/>
        <w:rPr>
          <w:rFonts w:ascii="Sylfaen" w:eastAsia="Times New Roman" w:hAnsi="Sylfaen" w:cs="Arial"/>
          <w:b/>
          <w:bCs/>
          <w:sz w:val="24"/>
          <w:szCs w:val="24"/>
          <w:lang w:val="en-GB" w:eastAsia="en-GB"/>
        </w:rPr>
      </w:pPr>
    </w:p>
    <w:p w:rsidR="002E49F1" w:rsidRPr="002E49F1" w:rsidRDefault="002E49F1" w:rsidP="002E49F1">
      <w:pPr>
        <w:spacing w:after="0"/>
        <w:jc w:val="both"/>
        <w:rPr>
          <w:rFonts w:ascii="Sylfaen" w:eastAsia="Times New Roman" w:hAnsi="Sylfaen" w:cs="Arial"/>
          <w:sz w:val="24"/>
          <w:szCs w:val="24"/>
          <w:lang w:val="en-GB" w:eastAsia="en-GB"/>
        </w:rPr>
      </w:pPr>
      <w:r w:rsidRPr="002E49F1">
        <w:rPr>
          <w:rFonts w:ascii="Sylfaen" w:eastAsia="Times New Roman" w:hAnsi="Sylfaen" w:cs="Arial"/>
          <w:sz w:val="24"/>
          <w:szCs w:val="24"/>
          <w:lang w:val="en-GB" w:eastAsia="en-GB"/>
        </w:rPr>
        <w:t xml:space="preserve">Ինչպես ընդունվել է ՄԻԵԴ-ի կողմից, խտրականություն կարող է առաջանալ, երբ տարբեր իրավիճակներում գտվող անձանց նկատմամբ կիրառվում է նույն </w:t>
      </w:r>
      <w:r w:rsidRPr="002E49F1">
        <w:rPr>
          <w:rFonts w:ascii="Sylfaen" w:eastAsia="Times New Roman" w:hAnsi="Sylfaen" w:cs="Arial"/>
          <w:sz w:val="24"/>
          <w:szCs w:val="24"/>
          <w:lang w:val="en-GB" w:eastAsia="en-GB"/>
        </w:rPr>
        <w:lastRenderedPageBreak/>
        <w:t xml:space="preserve">վերաբերմունքը: Նման հանգամանքներում այս վերաբերմունքը կարող է հանդիսանալ անուղղակի խտրականություն, և 14-րդ հոդվածը կարող է պետությանը պարտադրել տարբերակում մտցնել: Այն անուղղակի է, քանի որ ոչ թե վերաբերմունքն է տարբեր, այլ վերաբերմունքի հետևանքները, որոնք կարող են տարբեր բնութագրեր ունեցող անձանց կողմից տարբեր կերպ ընկալվել: </w:t>
      </w:r>
    </w:p>
    <w:p w:rsidR="002E49F1" w:rsidRPr="002E49F1" w:rsidRDefault="002E49F1" w:rsidP="002E49F1">
      <w:pPr>
        <w:spacing w:after="0"/>
        <w:jc w:val="both"/>
        <w:rPr>
          <w:rFonts w:ascii="Sylfaen" w:eastAsia="Times New Roman" w:hAnsi="Sylfaen" w:cs="Arial"/>
          <w:sz w:val="24"/>
          <w:szCs w:val="24"/>
          <w:lang w:val="en-GB" w:eastAsia="en-GB"/>
        </w:rPr>
      </w:pPr>
    </w:p>
    <w:p w:rsidR="002E49F1" w:rsidRPr="002E49F1" w:rsidRDefault="002E49F1" w:rsidP="002E49F1">
      <w:pPr>
        <w:spacing w:after="0"/>
        <w:jc w:val="both"/>
        <w:rPr>
          <w:rFonts w:ascii="Sylfaen" w:eastAsia="Times New Roman" w:hAnsi="Sylfaen" w:cs="Arial"/>
          <w:sz w:val="24"/>
          <w:szCs w:val="24"/>
          <w:lang w:val="en-GB" w:eastAsia="en-GB"/>
        </w:rPr>
      </w:pPr>
      <w:r w:rsidRPr="002E49F1">
        <w:rPr>
          <w:rFonts w:ascii="Sylfaen" w:eastAsia="Times New Roman" w:hAnsi="Sylfaen" w:cs="Arial"/>
          <w:sz w:val="24"/>
          <w:szCs w:val="24"/>
          <w:lang w:val="en-GB" w:eastAsia="en-GB"/>
        </w:rPr>
        <w:t xml:space="preserve">Այսպիսով, </w:t>
      </w:r>
      <w:r w:rsidRPr="002E49F1">
        <w:rPr>
          <w:rFonts w:ascii="Sylfaen" w:eastAsia="Times New Roman" w:hAnsi="Sylfaen" w:cs="Arial"/>
          <w:i/>
          <w:sz w:val="24"/>
          <w:szCs w:val="24"/>
          <w:lang w:val="en-GB" w:eastAsia="en-GB"/>
        </w:rPr>
        <w:t>Թլիմենոսն ընդդեմ Հունաստանի [</w:t>
      </w:r>
      <w:hyperlink r:id="rId18" w:history="1">
        <w:r w:rsidRPr="002E49F1">
          <w:rPr>
            <w:rFonts w:ascii="Sylfaen" w:eastAsia="Times New Roman" w:hAnsi="Sylfaen" w:cs="Arial"/>
            <w:i/>
            <w:color w:val="0000FF"/>
            <w:sz w:val="24"/>
            <w:szCs w:val="24"/>
            <w:u w:val="single"/>
            <w:lang w:val="en-GB" w:eastAsia="en-GB"/>
          </w:rPr>
          <w:t>Thlimmenos v. Greece</w:t>
        </w:r>
      </w:hyperlink>
      <w:r w:rsidRPr="002E49F1">
        <w:rPr>
          <w:rFonts w:ascii="Sylfaen" w:eastAsia="Times New Roman" w:hAnsi="Sylfaen" w:cs="Arial"/>
          <w:i/>
          <w:sz w:val="24"/>
          <w:szCs w:val="24"/>
          <w:lang w:val="en-GB" w:eastAsia="en-GB"/>
        </w:rPr>
        <w:t xml:space="preserve"> </w:t>
      </w:r>
      <w:r w:rsidRPr="002E49F1">
        <w:rPr>
          <w:rFonts w:ascii="Sylfaen" w:eastAsia="Times New Roman" w:hAnsi="Sylfaen" w:cs="Arial"/>
          <w:sz w:val="24"/>
          <w:szCs w:val="24"/>
          <w:lang w:val="en-GB" w:eastAsia="en-GB"/>
        </w:rPr>
        <w:t xml:space="preserve">(2001) 31 E.H.R.R. 15] գործով Դատարանը հայտարարել է, որ </w:t>
      </w:r>
    </w:p>
    <w:p w:rsidR="002E49F1" w:rsidRPr="002E49F1" w:rsidRDefault="002E49F1" w:rsidP="002E49F1">
      <w:pPr>
        <w:spacing w:after="0"/>
        <w:jc w:val="both"/>
        <w:rPr>
          <w:rFonts w:ascii="Sylfaen" w:eastAsia="Times New Roman" w:hAnsi="Sylfaen" w:cs="Arial"/>
          <w:i/>
          <w:sz w:val="24"/>
          <w:szCs w:val="24"/>
          <w:lang w:val="en-GB" w:eastAsia="en-GB"/>
        </w:rPr>
      </w:pPr>
      <w:r w:rsidRPr="002E49F1">
        <w:rPr>
          <w:rFonts w:ascii="Sylfaen" w:eastAsia="Times New Roman" w:hAnsi="Sylfaen" w:cs="Arial"/>
          <w:i/>
          <w:sz w:val="24"/>
          <w:szCs w:val="24"/>
          <w:lang w:val="en-GB" w:eastAsia="en-GB"/>
        </w:rPr>
        <w:t xml:space="preserve">… Կոնվենցիայով երաշխավորված իրավունքներից օգտվելիս խտրականության չենթարկվելու իրավունքը խախտվում է նաև այն դեպքում, երբ պետությունը, առանց օբյեկտիվ և ողջամիտ հիմնավորման, այլ վերաբերմունք չի ցուցաբերում այն անձանց նկատմամբ, որոնք գնտվում են զգալի տարբեր իրավիճակներում: </w:t>
      </w:r>
    </w:p>
    <w:p w:rsidR="002E49F1" w:rsidRPr="002E49F1" w:rsidRDefault="002E49F1" w:rsidP="002E49F1">
      <w:pPr>
        <w:spacing w:after="0"/>
        <w:jc w:val="both"/>
        <w:rPr>
          <w:rFonts w:ascii="Sylfaen" w:eastAsia="Times New Roman" w:hAnsi="Sylfaen" w:cs="Arial"/>
          <w:i/>
          <w:sz w:val="24"/>
          <w:szCs w:val="24"/>
          <w:lang w:val="en-GB" w:eastAsia="en-GB"/>
        </w:rPr>
      </w:pPr>
    </w:p>
    <w:p w:rsidR="002E49F1" w:rsidRPr="002E49F1" w:rsidRDefault="002E49F1" w:rsidP="002E49F1">
      <w:pPr>
        <w:spacing w:after="0"/>
        <w:jc w:val="both"/>
        <w:rPr>
          <w:rFonts w:ascii="Sylfaen" w:eastAsia="Times New Roman" w:hAnsi="Sylfaen" w:cs="Arial"/>
          <w:sz w:val="24"/>
          <w:szCs w:val="24"/>
          <w:lang w:val="en-GB" w:eastAsia="en-GB"/>
        </w:rPr>
      </w:pPr>
      <w:r w:rsidRPr="002E49F1">
        <w:rPr>
          <w:rFonts w:ascii="Sylfaen" w:eastAsia="Times New Roman" w:hAnsi="Sylfaen" w:cs="Arial"/>
          <w:sz w:val="24"/>
          <w:szCs w:val="24"/>
          <w:lang w:val="en-GB" w:eastAsia="en-GB"/>
        </w:rPr>
        <w:t>և որոշեց, որ Եհովայի վկայի նկատմամբ, որին բանտ են ուղարկել զինվորական համազգեստից հրաժարվելու համար, պետք է ցուցաբերել այլ վերաբերմունք, քան «սովորական» հանցագործների` նկատի առնելով այն օրենքները, որոնք արգելում են դատվածություն ունեցող անձանց պատասխանող կողմ դառնալ: Թեև կան հիմնավոր պատճառներ դատապարտված հանցագործների որպես պատասխանող կողմ հանդես գալու արգելման համար, նույն տրամաբանությունը չի կիրառվում համոզմունքների հիմնավորմամբ զինծառայությունից հրաժարվողների դեպքում, իսկ նրանց տարբեր հանգամանքները պահանջում են տարբեր վերաբերմունք:</w:t>
      </w:r>
    </w:p>
    <w:p w:rsidR="002E49F1" w:rsidRPr="002E49F1" w:rsidRDefault="002E49F1" w:rsidP="002E49F1">
      <w:pPr>
        <w:spacing w:after="0"/>
        <w:jc w:val="both"/>
        <w:rPr>
          <w:rFonts w:ascii="Sylfaen" w:eastAsia="Times New Roman" w:hAnsi="Sylfaen" w:cs="Arial"/>
          <w:sz w:val="24"/>
          <w:szCs w:val="24"/>
          <w:lang w:val="en-GB" w:eastAsia="en-GB"/>
        </w:rPr>
      </w:pPr>
      <w:proofErr w:type="gramStart"/>
      <w:r w:rsidRPr="002E49F1">
        <w:rPr>
          <w:rFonts w:ascii="Sylfaen" w:eastAsia="Times New Roman" w:hAnsi="Sylfaen" w:cs="Arial"/>
          <w:i/>
          <w:sz w:val="24"/>
          <w:szCs w:val="24"/>
          <w:lang w:val="en-GB" w:eastAsia="en-GB"/>
        </w:rPr>
        <w:t>Դ.Հ.-ն ընդդեմ Չեխիայի հանրապետության</w:t>
      </w:r>
      <w:r w:rsidRPr="002E49F1">
        <w:rPr>
          <w:rFonts w:ascii="Sylfaen" w:eastAsia="Times New Roman" w:hAnsi="Sylfaen" w:cs="Arial"/>
          <w:sz w:val="24"/>
          <w:szCs w:val="24"/>
          <w:lang w:val="en-GB" w:eastAsia="en-GB"/>
        </w:rPr>
        <w:t xml:space="preserve"> [</w:t>
      </w:r>
      <w:hyperlink r:id="rId19" w:history="1">
        <w:r w:rsidRPr="002E49F1">
          <w:rPr>
            <w:rFonts w:ascii="Sylfaen" w:eastAsia="Times New Roman" w:hAnsi="Sylfaen" w:cs="Arial"/>
            <w:i/>
            <w:color w:val="0000FF"/>
            <w:sz w:val="24"/>
            <w:szCs w:val="24"/>
            <w:u w:val="single"/>
            <w:lang w:val="en-GB" w:eastAsia="en-GB"/>
          </w:rPr>
          <w:t>D.H. v.</w:t>
        </w:r>
        <w:proofErr w:type="gramEnd"/>
        <w:r w:rsidRPr="002E49F1">
          <w:rPr>
            <w:rFonts w:ascii="Sylfaen" w:eastAsia="Times New Roman" w:hAnsi="Sylfaen" w:cs="Arial"/>
            <w:i/>
            <w:color w:val="0000FF"/>
            <w:sz w:val="24"/>
            <w:szCs w:val="24"/>
            <w:u w:val="single"/>
            <w:lang w:val="en-GB" w:eastAsia="en-GB"/>
          </w:rPr>
          <w:t xml:space="preserve"> The Czech Republic</w:t>
        </w:r>
      </w:hyperlink>
      <w:r w:rsidRPr="002E49F1">
        <w:rPr>
          <w:rFonts w:ascii="Sylfaen" w:eastAsia="Times New Roman" w:hAnsi="Sylfaen" w:cs="Arial"/>
          <w:sz w:val="24"/>
          <w:szCs w:val="24"/>
          <w:lang w:val="en-GB" w:eastAsia="en-GB"/>
        </w:rPr>
        <w:t xml:space="preserve">] (Դիմում թիվ 57325/00, 2007թ. նոյեմբերի 13-ի վճիռ) շրջադարձային գործում Դատարանն որոշեց, որ գնչու դիմումատուները ենթարկվել են անուղղակի խտրականության: Մեծ պալատը հայտարարեց, որ խախտվել է 14-րդ հոդվածը թիվ 1 Արձանագրության 2-րդ հոդվածի  (կրթության իրավունք) համակցությամբ, այն հանգամանքներում, երբ դիմումատուներն անուղղակիորեն ենթարկվել են խտրականության ուսումնական դժվարություններ ունեցող երեխաների համար նախատեսված հատուկ դպրոցներում ներգրավվելու ժամանակ: Չնայած դիմումի ներկայացման ժամանակ գնչուական ծագման երեխաները կազմում էին բոլոր կրտսեր դպրոցների աշակերտների 5%-ը, սակայն կազմում էին հատուկ դպրոցների աշակերտների ընդհանուր թվի 50%-ը, իսկ այս տեսակի դպրոցներում`90%-ը:  </w:t>
      </w:r>
    </w:p>
    <w:p w:rsidR="002E49F1" w:rsidRPr="002E49F1" w:rsidRDefault="002E49F1" w:rsidP="002E49F1">
      <w:pPr>
        <w:spacing w:after="0"/>
        <w:jc w:val="both"/>
        <w:rPr>
          <w:rFonts w:ascii="Sylfaen" w:eastAsia="Times New Roman" w:hAnsi="Sylfaen" w:cs="Arial"/>
          <w:sz w:val="24"/>
          <w:szCs w:val="24"/>
          <w:lang w:val="en-GB" w:eastAsia="en-GB"/>
        </w:rPr>
      </w:pPr>
    </w:p>
    <w:p w:rsidR="002E49F1" w:rsidRPr="002E49F1" w:rsidRDefault="002E49F1" w:rsidP="002E49F1">
      <w:pPr>
        <w:spacing w:after="0"/>
        <w:jc w:val="both"/>
        <w:rPr>
          <w:rFonts w:ascii="Sylfaen" w:eastAsia="Times New Roman" w:hAnsi="Sylfaen" w:cs="Arial"/>
          <w:sz w:val="24"/>
          <w:szCs w:val="24"/>
          <w:lang w:val="en-GB" w:eastAsia="en-GB"/>
        </w:rPr>
      </w:pPr>
      <w:r w:rsidRPr="002E49F1">
        <w:rPr>
          <w:rFonts w:ascii="Sylfaen" w:eastAsia="Times New Roman" w:hAnsi="Sylfaen" w:cs="Arial"/>
          <w:sz w:val="24"/>
          <w:szCs w:val="24"/>
          <w:lang w:val="en-GB" w:eastAsia="en-GB"/>
        </w:rPr>
        <w:t xml:space="preserve">Վճիռը կայացնելիս ՄԻԵԴ հայտարարել է, որ </w:t>
      </w:r>
    </w:p>
    <w:p w:rsidR="002E49F1" w:rsidRPr="002E49F1" w:rsidRDefault="002E49F1" w:rsidP="002E49F1">
      <w:pPr>
        <w:spacing w:after="0"/>
        <w:jc w:val="both"/>
        <w:rPr>
          <w:rFonts w:ascii="Sylfaen" w:eastAsia="Times New Roman" w:hAnsi="Sylfaen" w:cs="Arial"/>
          <w:b/>
          <w:i/>
          <w:sz w:val="24"/>
          <w:szCs w:val="24"/>
          <w:lang w:val="en-GB" w:eastAsia="en-GB"/>
        </w:rPr>
      </w:pPr>
      <w:r w:rsidRPr="002E49F1">
        <w:rPr>
          <w:rFonts w:ascii="Sylfaen" w:eastAsia="Times New Roman" w:hAnsi="Sylfaen" w:cs="Arial"/>
          <w:i/>
          <w:sz w:val="24"/>
          <w:szCs w:val="24"/>
          <w:lang w:val="en-GB" w:eastAsia="en-GB"/>
        </w:rPr>
        <w:lastRenderedPageBreak/>
        <w:t>184 … վերաբերմունքի տարբերությունը կարող է ստանալ անհամաչափելիորեն վնասակար հետևանքի ձև ընդհանուր քաղաքականության կամ միջոցառման արդյունքում, որոնք, թեև ունեն չեզոք ձևակերպում, խտրական են որևէ խմբի նկատմամբ:</w:t>
      </w:r>
    </w:p>
    <w:p w:rsidR="007F12D5" w:rsidRDefault="007F12D5" w:rsidP="002E49F1">
      <w:pPr>
        <w:autoSpaceDE w:val="0"/>
        <w:autoSpaceDN w:val="0"/>
        <w:adjustRightInd w:val="0"/>
        <w:spacing w:after="0"/>
        <w:jc w:val="both"/>
        <w:rPr>
          <w:rFonts w:ascii="Sylfaen" w:eastAsia="Times New Roman" w:hAnsi="Sylfaen" w:cs="Arial"/>
          <w:b/>
          <w:sz w:val="24"/>
          <w:szCs w:val="24"/>
          <w:lang w:val="en-GB" w:eastAsia="en-GB"/>
        </w:rPr>
      </w:pPr>
    </w:p>
    <w:p w:rsidR="002E49F1" w:rsidRPr="002E49F1" w:rsidRDefault="002E49F1" w:rsidP="002E49F1">
      <w:pPr>
        <w:autoSpaceDE w:val="0"/>
        <w:autoSpaceDN w:val="0"/>
        <w:adjustRightInd w:val="0"/>
        <w:spacing w:after="0"/>
        <w:jc w:val="both"/>
        <w:rPr>
          <w:rFonts w:ascii="Sylfaen" w:eastAsia="Times New Roman" w:hAnsi="Sylfaen" w:cs="Arial"/>
          <w:b/>
          <w:sz w:val="24"/>
          <w:szCs w:val="24"/>
          <w:lang w:val="en-GB" w:eastAsia="en-GB"/>
        </w:rPr>
      </w:pPr>
      <w:r w:rsidRPr="002E49F1">
        <w:rPr>
          <w:rFonts w:ascii="Sylfaen" w:eastAsia="Times New Roman" w:hAnsi="Sylfaen" w:cs="Arial"/>
          <w:b/>
          <w:sz w:val="24"/>
          <w:szCs w:val="24"/>
          <w:lang w:val="en-GB" w:eastAsia="en-GB"/>
        </w:rPr>
        <w:t xml:space="preserve">Համեմատական եզրի անհրաժեշտություն </w:t>
      </w:r>
    </w:p>
    <w:p w:rsidR="002E49F1" w:rsidRDefault="002E49F1" w:rsidP="002E49F1">
      <w:pPr>
        <w:autoSpaceDE w:val="0"/>
        <w:autoSpaceDN w:val="0"/>
        <w:adjustRightInd w:val="0"/>
        <w:spacing w:after="0"/>
        <w:jc w:val="both"/>
        <w:rPr>
          <w:rFonts w:ascii="Sylfaen" w:eastAsia="Times New Roman" w:hAnsi="Sylfaen" w:cs="Arial"/>
          <w:sz w:val="24"/>
          <w:szCs w:val="24"/>
          <w:lang w:val="en-GB" w:eastAsia="en-GB"/>
        </w:rPr>
      </w:pPr>
    </w:p>
    <w:p w:rsidR="002E49F1" w:rsidRPr="002E49F1" w:rsidRDefault="002E49F1" w:rsidP="002E49F1">
      <w:pPr>
        <w:autoSpaceDE w:val="0"/>
        <w:autoSpaceDN w:val="0"/>
        <w:adjustRightInd w:val="0"/>
        <w:spacing w:after="0"/>
        <w:jc w:val="both"/>
        <w:rPr>
          <w:rFonts w:ascii="Sylfaen" w:eastAsia="Times New Roman" w:hAnsi="Sylfaen" w:cs="Arial"/>
          <w:b/>
          <w:sz w:val="24"/>
          <w:szCs w:val="24"/>
          <w:lang w:val="en-GB" w:eastAsia="en-GB"/>
        </w:rPr>
      </w:pPr>
      <w:r w:rsidRPr="002E49F1">
        <w:rPr>
          <w:rFonts w:ascii="Sylfaen" w:eastAsia="Times New Roman" w:hAnsi="Sylfaen" w:cs="Arial"/>
          <w:sz w:val="24"/>
          <w:szCs w:val="24"/>
          <w:lang w:val="en-GB" w:eastAsia="en-GB"/>
        </w:rPr>
        <w:t xml:space="preserve">Ընդհանուր առմամբ, ենթադրյալ ուղղակի խտրականության դեպքում պետք է ցույց տալ, որ վերաբերմունքն անբարենպաստ է նույն իրավիճակում մեկ այլ անձի նկատմամբ ցուցաբերված վերաբերմունքից, և հայցվորը պետք է ներկայացնի համեմատական եզր: Նմանապես, անուղղակի խտրականության ենթադրյալ դեպքում նույնպես անհրաժեշտ է համեմատական եզր պարզելու համար, թե արդյոք կոնկրետ միջոցառման հետևանքը զգալի բացասական ազդեցություն է ունեցել հայցվորի վրա, քան նույն իրավիճակում գտնվող այլ անհատների վրա: </w:t>
      </w:r>
    </w:p>
    <w:p w:rsidR="002E49F1" w:rsidRPr="002E49F1" w:rsidRDefault="002E49F1" w:rsidP="002E49F1">
      <w:pPr>
        <w:autoSpaceDE w:val="0"/>
        <w:autoSpaceDN w:val="0"/>
        <w:adjustRightInd w:val="0"/>
        <w:spacing w:after="0"/>
        <w:jc w:val="both"/>
        <w:rPr>
          <w:rFonts w:ascii="Sylfaen" w:eastAsia="Times New Roman" w:hAnsi="Sylfaen" w:cs="Arial"/>
          <w:b/>
          <w:i/>
          <w:sz w:val="24"/>
          <w:szCs w:val="24"/>
          <w:lang w:val="en-GB" w:eastAsia="en-GB"/>
        </w:rPr>
      </w:pPr>
    </w:p>
    <w:p w:rsidR="002E49F1" w:rsidRPr="002E49F1" w:rsidRDefault="002E49F1" w:rsidP="002E49F1">
      <w:pPr>
        <w:autoSpaceDE w:val="0"/>
        <w:autoSpaceDN w:val="0"/>
        <w:adjustRightInd w:val="0"/>
        <w:spacing w:after="0"/>
        <w:jc w:val="both"/>
        <w:rPr>
          <w:rFonts w:ascii="Sylfaen" w:eastAsia="Times New Roman" w:hAnsi="Sylfaen" w:cs="Arial"/>
          <w:b/>
          <w:sz w:val="24"/>
          <w:szCs w:val="24"/>
          <w:lang w:val="en-GB" w:eastAsia="en-GB"/>
        </w:rPr>
      </w:pPr>
      <w:r w:rsidRPr="002E49F1">
        <w:rPr>
          <w:rFonts w:ascii="Sylfaen" w:eastAsia="Times New Roman" w:hAnsi="Sylfaen" w:cs="Arial"/>
          <w:b/>
          <w:sz w:val="24"/>
          <w:szCs w:val="24"/>
          <w:lang w:val="en-GB" w:eastAsia="en-GB"/>
        </w:rPr>
        <w:t xml:space="preserve">Օբյեկտիվ և ողջամիտ հիմնավորում </w:t>
      </w:r>
    </w:p>
    <w:p w:rsidR="002E49F1" w:rsidRDefault="002E49F1" w:rsidP="002E49F1">
      <w:pPr>
        <w:autoSpaceDE w:val="0"/>
        <w:autoSpaceDN w:val="0"/>
        <w:adjustRightInd w:val="0"/>
        <w:spacing w:after="0"/>
        <w:jc w:val="both"/>
        <w:rPr>
          <w:rFonts w:ascii="Sylfaen" w:eastAsia="Times New Roman" w:hAnsi="Sylfaen" w:cs="Arial"/>
          <w:sz w:val="24"/>
          <w:szCs w:val="24"/>
          <w:lang w:val="en-GB" w:eastAsia="en-GB"/>
        </w:rPr>
      </w:pPr>
    </w:p>
    <w:p w:rsidR="002E49F1" w:rsidRPr="002E49F1" w:rsidRDefault="002E49F1" w:rsidP="002E49F1">
      <w:pPr>
        <w:autoSpaceDE w:val="0"/>
        <w:autoSpaceDN w:val="0"/>
        <w:adjustRightInd w:val="0"/>
        <w:spacing w:after="0"/>
        <w:jc w:val="both"/>
        <w:rPr>
          <w:rFonts w:ascii="Sylfaen" w:eastAsia="Times New Roman" w:hAnsi="Sylfaen" w:cs="Arial"/>
          <w:sz w:val="24"/>
          <w:szCs w:val="24"/>
          <w:lang w:val="en-GB" w:eastAsia="en-GB"/>
        </w:rPr>
      </w:pPr>
      <w:r w:rsidRPr="002E49F1">
        <w:rPr>
          <w:rFonts w:ascii="Sylfaen" w:eastAsia="Times New Roman" w:hAnsi="Sylfaen" w:cs="Arial"/>
          <w:sz w:val="24"/>
          <w:szCs w:val="24"/>
          <w:lang w:val="en-GB" w:eastAsia="en-GB"/>
        </w:rPr>
        <w:t xml:space="preserve">Վերաբերմունքի տարբերությունը խտրական է, եթե չկա օբյեկտիվ և ողջամիտ հիմնավորում: Այլ կերպ ասած` այն չի հետապնդում իրավաչափ նպատակ կամ չկա ողջամիտ համաչափության հարաբերակցություն կիրառված միջոցի և հետապնդվող նպատակի միջև (տե´ս,   </w:t>
      </w:r>
      <w:hyperlink r:id="rId20" w:history="1">
        <w:r w:rsidRPr="002E49F1">
          <w:rPr>
            <w:rFonts w:ascii="Sylfaen" w:eastAsia="Times New Roman" w:hAnsi="Sylfaen" w:cs="Arial"/>
            <w:i/>
            <w:color w:val="0000FF"/>
            <w:sz w:val="24"/>
            <w:szCs w:val="24"/>
            <w:u w:val="single"/>
            <w:lang w:val="en-GB" w:eastAsia="en-GB"/>
          </w:rPr>
          <w:t xml:space="preserve">Burden v UK </w:t>
        </w:r>
        <w:r w:rsidRPr="002E49F1">
          <w:rPr>
            <w:rFonts w:ascii="Sylfaen" w:eastAsia="Times New Roman" w:hAnsi="Sylfaen" w:cs="Arial"/>
            <w:color w:val="0000FF"/>
            <w:sz w:val="24"/>
            <w:szCs w:val="24"/>
            <w:u w:val="single"/>
            <w:lang w:val="en-GB" w:eastAsia="en-GB"/>
          </w:rPr>
          <w:t>(</w:t>
        </w:r>
      </w:hyperlink>
      <w:r w:rsidRPr="002E49F1">
        <w:rPr>
          <w:rFonts w:ascii="Sylfaen" w:eastAsia="Times New Roman" w:hAnsi="Sylfaen" w:cs="Arial"/>
          <w:sz w:val="24"/>
          <w:szCs w:val="24"/>
          <w:lang w:val="en-GB" w:eastAsia="en-GB"/>
        </w:rPr>
        <w:t xml:space="preserve">2008) 2008թ. ապրիլի 29-ի վճիռ, կետ 60): Տե՛ս նմանատիպ ձևակերպումը նաև </w:t>
      </w:r>
      <w:hyperlink r:id="rId21" w:history="1">
        <w:r w:rsidRPr="002E49F1">
          <w:rPr>
            <w:rFonts w:ascii="Sylfaen" w:eastAsia="Times New Roman" w:hAnsi="Sylfaen" w:cs="Arial"/>
            <w:i/>
            <w:color w:val="0000FF"/>
            <w:sz w:val="24"/>
            <w:szCs w:val="24"/>
            <w:u w:val="single"/>
            <w:lang w:val="en-GB" w:eastAsia="en-GB"/>
          </w:rPr>
          <w:t>Վիրաբյանն ընդդեմ Հայաստանի</w:t>
        </w:r>
        <w:r w:rsidRPr="002E49F1">
          <w:rPr>
            <w:rFonts w:ascii="Sylfaen" w:eastAsia="Times New Roman" w:hAnsi="Sylfaen" w:cs="Arial"/>
            <w:color w:val="0000FF"/>
            <w:sz w:val="24"/>
            <w:szCs w:val="24"/>
            <w:u w:val="single"/>
            <w:lang w:val="en-GB" w:eastAsia="en-GB"/>
          </w:rPr>
          <w:t xml:space="preserve"> (թիվ 40094/05, § 199),</w:t>
        </w:r>
      </w:hyperlink>
      <w:r w:rsidRPr="002E49F1">
        <w:rPr>
          <w:rFonts w:ascii="Sylfaen" w:eastAsia="Times New Roman" w:hAnsi="Sylfaen" w:cs="Arial"/>
          <w:sz w:val="24"/>
          <w:szCs w:val="24"/>
          <w:lang w:val="en-GB" w:eastAsia="en-GB"/>
        </w:rPr>
        <w:t xml:space="preserve"> որը խտրականության՝ Կոնվենցիայի 14-րդ հոդվածի հիմքով կայացված առաջին վճիռն էր ընդդեմ Հայաստանի։ </w:t>
      </w:r>
    </w:p>
    <w:p w:rsidR="002E49F1" w:rsidRPr="002E49F1" w:rsidRDefault="002E49F1" w:rsidP="002E49F1">
      <w:pPr>
        <w:autoSpaceDE w:val="0"/>
        <w:autoSpaceDN w:val="0"/>
        <w:adjustRightInd w:val="0"/>
        <w:spacing w:after="0"/>
        <w:jc w:val="both"/>
        <w:rPr>
          <w:rFonts w:ascii="Sylfaen" w:eastAsia="Times New Roman" w:hAnsi="Sylfaen" w:cs="Arial"/>
          <w:sz w:val="24"/>
          <w:szCs w:val="24"/>
          <w:lang w:val="en-GB" w:eastAsia="en-GB"/>
        </w:rPr>
      </w:pPr>
    </w:p>
    <w:p w:rsidR="002E49F1" w:rsidRPr="002E49F1" w:rsidRDefault="002E49F1" w:rsidP="002E49F1">
      <w:pPr>
        <w:spacing w:after="0"/>
        <w:jc w:val="both"/>
        <w:rPr>
          <w:rFonts w:ascii="Sylfaen" w:eastAsia="Times New Roman" w:hAnsi="Sylfaen" w:cs="Arial"/>
          <w:b/>
          <w:sz w:val="24"/>
          <w:szCs w:val="24"/>
          <w:lang w:val="en-GB" w:eastAsia="en-GB"/>
        </w:rPr>
      </w:pPr>
      <w:r w:rsidRPr="002E49F1">
        <w:rPr>
          <w:rFonts w:ascii="Sylfaen" w:eastAsia="Times New Roman" w:hAnsi="Sylfaen" w:cs="Arial"/>
          <w:b/>
          <w:sz w:val="24"/>
          <w:szCs w:val="24"/>
          <w:lang w:val="en-GB" w:eastAsia="en-GB"/>
        </w:rPr>
        <w:t xml:space="preserve">Պետության «հայեցողության սահմանները» խտրականության վերաբերյալ գործերում </w:t>
      </w:r>
    </w:p>
    <w:p w:rsidR="002E49F1" w:rsidRDefault="002E49F1" w:rsidP="002E49F1">
      <w:pPr>
        <w:spacing w:after="0"/>
        <w:jc w:val="both"/>
        <w:rPr>
          <w:rFonts w:ascii="Sylfaen" w:eastAsia="Times New Roman" w:hAnsi="Sylfaen" w:cs="Arial"/>
          <w:sz w:val="24"/>
          <w:szCs w:val="24"/>
          <w:lang w:val="en-GB" w:eastAsia="en-GB"/>
        </w:rPr>
      </w:pPr>
    </w:p>
    <w:p w:rsidR="002E49F1" w:rsidRPr="002E49F1" w:rsidRDefault="002E49F1" w:rsidP="002E49F1">
      <w:pPr>
        <w:spacing w:after="0"/>
        <w:jc w:val="both"/>
        <w:rPr>
          <w:rFonts w:ascii="Sylfaen" w:eastAsia="Times New Roman" w:hAnsi="Sylfaen" w:cs="Arial"/>
          <w:sz w:val="24"/>
          <w:szCs w:val="24"/>
          <w:lang w:val="en-GB" w:eastAsia="en-GB"/>
        </w:rPr>
      </w:pPr>
      <w:r w:rsidRPr="002E49F1">
        <w:rPr>
          <w:rFonts w:ascii="Sylfaen" w:eastAsia="Times New Roman" w:hAnsi="Sylfaen" w:cs="Arial"/>
          <w:sz w:val="24"/>
          <w:szCs w:val="24"/>
          <w:lang w:val="en-GB" w:eastAsia="en-GB"/>
        </w:rPr>
        <w:t xml:space="preserve">14-րդ հոդվածով նախատեսված խտրականության չենթարկվելու իրավունքն ավելի շուտ որակական է, քան բացարձակ, և այս հարցում պետություններին շնորհված է հայեցողության զգալի սահմաններ: Հայեցողության սահմանների նեղ կամ լայն լինելը կախված է </w:t>
      </w:r>
    </w:p>
    <w:p w:rsidR="002E49F1" w:rsidRPr="002E49F1" w:rsidRDefault="002E49F1" w:rsidP="002E49F1">
      <w:pPr>
        <w:numPr>
          <w:ilvl w:val="0"/>
          <w:numId w:val="1"/>
        </w:numPr>
        <w:spacing w:after="0"/>
        <w:jc w:val="both"/>
        <w:rPr>
          <w:rFonts w:ascii="Sylfaen" w:eastAsia="Times New Roman" w:hAnsi="Sylfaen" w:cs="Arial"/>
          <w:sz w:val="24"/>
          <w:szCs w:val="24"/>
          <w:lang w:val="en-GB" w:eastAsia="en-GB"/>
        </w:rPr>
      </w:pPr>
      <w:r w:rsidRPr="002E49F1">
        <w:rPr>
          <w:rFonts w:ascii="Sylfaen" w:eastAsia="Times New Roman" w:hAnsi="Sylfaen" w:cs="Arial"/>
          <w:sz w:val="24"/>
          <w:szCs w:val="24"/>
          <w:lang w:val="en-GB" w:eastAsia="en-GB"/>
        </w:rPr>
        <w:t xml:space="preserve">Վկայակոչված իրավունքի բնույթից:  Պետություններին ավելի լայն ուղի է տրված սոցիալական և տնտեսական ոլորտներում (տե´ս, պետությանը շնորհված հայեցողության լայն սահմանների վերաբերյալ </w:t>
      </w:r>
      <w:r w:rsidRPr="002E49F1">
        <w:rPr>
          <w:rFonts w:ascii="Sylfaen" w:eastAsia="Times New Roman" w:hAnsi="Sylfaen" w:cs="Arial"/>
          <w:i/>
          <w:sz w:val="24"/>
          <w:szCs w:val="24"/>
          <w:lang w:val="en-GB" w:eastAsia="en-GB"/>
        </w:rPr>
        <w:t>Ստեկն ընդդեմ Մեծ Բրիտանիայի [</w:t>
      </w:r>
      <w:hyperlink r:id="rId22" w:history="1">
        <w:r w:rsidRPr="002E49F1">
          <w:rPr>
            <w:rFonts w:ascii="Sylfaen" w:eastAsia="Times New Roman" w:hAnsi="Sylfaen" w:cs="Arial"/>
            <w:i/>
            <w:color w:val="0000FF"/>
            <w:sz w:val="24"/>
            <w:szCs w:val="24"/>
            <w:u w:val="single"/>
            <w:lang w:val="en-GB" w:eastAsia="en-GB"/>
          </w:rPr>
          <w:t>Stec v UK</w:t>
        </w:r>
      </w:hyperlink>
      <w:r w:rsidRPr="002E49F1">
        <w:rPr>
          <w:rFonts w:ascii="Sylfaen" w:eastAsia="Times New Roman" w:hAnsi="Sylfaen" w:cs="Times New Roman"/>
          <w:sz w:val="24"/>
          <w:szCs w:val="24"/>
          <w:lang w:val="en-GB" w:eastAsia="en-GB"/>
        </w:rPr>
        <w:t>]</w:t>
      </w:r>
      <w:r w:rsidRPr="002E49F1">
        <w:rPr>
          <w:rFonts w:ascii="Sylfaen" w:eastAsia="Times New Roman" w:hAnsi="Sylfaen" w:cs="Arial"/>
          <w:i/>
          <w:sz w:val="24"/>
          <w:szCs w:val="24"/>
          <w:lang w:val="en-GB" w:eastAsia="en-GB"/>
        </w:rPr>
        <w:t xml:space="preserve"> </w:t>
      </w:r>
      <w:r w:rsidRPr="002E49F1">
        <w:rPr>
          <w:rFonts w:ascii="Sylfaen" w:eastAsia="Times New Roman" w:hAnsi="Sylfaen" w:cs="Arial"/>
          <w:sz w:val="24"/>
          <w:szCs w:val="24"/>
          <w:lang w:val="en-GB" w:eastAsia="en-GB"/>
        </w:rPr>
        <w:t xml:space="preserve">(2006) 2006թ. ապրիլի 12- վճիռը, որը վերաբերում է </w:t>
      </w:r>
      <w:r w:rsidRPr="002E49F1">
        <w:rPr>
          <w:rFonts w:ascii="Sylfaen" w:eastAsia="Times New Roman" w:hAnsi="Sylfaen" w:cs="Arial"/>
          <w:sz w:val="24"/>
          <w:szCs w:val="24"/>
          <w:lang w:val="en-GB" w:eastAsia="en-GB"/>
        </w:rPr>
        <w:lastRenderedPageBreak/>
        <w:t xml:space="preserve">սոցիալական ապահովագրության վճարումների հարցում վերաբերմունքի տարբերությանը), մինչդեռ հիմնարար իրավունքների առումով հայեցողության սահմանները նեղ են,  </w:t>
      </w:r>
    </w:p>
    <w:p w:rsidR="002E49F1" w:rsidRPr="002E49F1" w:rsidRDefault="002E49F1" w:rsidP="002E49F1">
      <w:pPr>
        <w:numPr>
          <w:ilvl w:val="0"/>
          <w:numId w:val="1"/>
        </w:numPr>
        <w:spacing w:after="0"/>
        <w:jc w:val="both"/>
        <w:rPr>
          <w:rFonts w:ascii="Sylfaen" w:eastAsia="Times New Roman" w:hAnsi="Sylfaen" w:cs="Arial"/>
          <w:sz w:val="24"/>
          <w:szCs w:val="24"/>
          <w:lang w:val="en-GB" w:eastAsia="en-GB"/>
        </w:rPr>
      </w:pPr>
      <w:r w:rsidRPr="002E49F1">
        <w:rPr>
          <w:rFonts w:ascii="Sylfaen" w:eastAsia="Times New Roman" w:hAnsi="Sylfaen" w:cs="Arial"/>
          <w:sz w:val="24"/>
          <w:szCs w:val="24"/>
          <w:lang w:val="en-GB" w:eastAsia="en-GB"/>
        </w:rPr>
        <w:t xml:space="preserve">Միջամտության չափից: </w:t>
      </w:r>
      <w:r w:rsidRPr="002E49F1">
        <w:rPr>
          <w:rFonts w:ascii="Sylfaen" w:eastAsia="Times New Roman" w:hAnsi="Sylfaen" w:cs="Arial"/>
          <w:i/>
          <w:sz w:val="24"/>
          <w:szCs w:val="24"/>
          <w:lang w:val="en-GB" w:eastAsia="en-GB"/>
        </w:rPr>
        <w:t xml:space="preserve">Ազիզն ընդդեմ Կիպրոսի </w:t>
      </w:r>
      <w:r w:rsidRPr="002E49F1">
        <w:rPr>
          <w:rFonts w:ascii="Sylfaen" w:eastAsia="Times New Roman" w:hAnsi="Sylfaen" w:cs="Arial"/>
          <w:sz w:val="24"/>
          <w:szCs w:val="24"/>
          <w:lang w:val="en-GB" w:eastAsia="en-GB"/>
        </w:rPr>
        <w:t xml:space="preserve"> [</w:t>
      </w:r>
      <w:hyperlink r:id="rId23" w:history="1">
        <w:r w:rsidRPr="002E49F1">
          <w:rPr>
            <w:rFonts w:ascii="Sylfaen" w:eastAsia="Times New Roman" w:hAnsi="Sylfaen" w:cs="Arial"/>
            <w:i/>
            <w:color w:val="0000FF"/>
            <w:sz w:val="24"/>
            <w:szCs w:val="24"/>
            <w:u w:val="single"/>
            <w:lang w:val="en-GB" w:eastAsia="en-GB"/>
          </w:rPr>
          <w:t>Aziz v. Cyprus</w:t>
        </w:r>
      </w:hyperlink>
      <w:r w:rsidRPr="002E49F1">
        <w:rPr>
          <w:rFonts w:ascii="Sylfaen" w:eastAsia="Times New Roman" w:hAnsi="Sylfaen" w:cs="Arial"/>
          <w:i/>
          <w:sz w:val="24"/>
          <w:szCs w:val="24"/>
          <w:lang w:val="en-GB" w:eastAsia="en-GB"/>
        </w:rPr>
        <w:t xml:space="preserve"> </w:t>
      </w:r>
      <w:r w:rsidRPr="002E49F1">
        <w:rPr>
          <w:rFonts w:ascii="Sylfaen" w:eastAsia="Times New Roman" w:hAnsi="Sylfaen" w:cs="Arial"/>
          <w:sz w:val="24"/>
          <w:szCs w:val="24"/>
          <w:lang w:val="nl-NL" w:eastAsia="en-GB"/>
        </w:rPr>
        <w:t>(2002) 35 E.H.R.R. CD 14] գործում Դատարանը գտավ, որ տեղի է ունեցել Կոնվենցիայի խախտում` հաշվի առնելով այն հանգամանքը</w:t>
      </w:r>
      <w:r w:rsidRPr="002E49F1">
        <w:rPr>
          <w:rFonts w:ascii="Sylfaen" w:eastAsia="Times New Roman" w:hAnsi="Sylfaen" w:cs="Arial"/>
          <w:i/>
          <w:sz w:val="24"/>
          <w:szCs w:val="24"/>
          <w:lang w:val="en-GB" w:eastAsia="en-GB"/>
        </w:rPr>
        <w:t xml:space="preserve">, </w:t>
      </w:r>
      <w:r w:rsidRPr="002E49F1">
        <w:rPr>
          <w:rFonts w:ascii="Sylfaen" w:eastAsia="Times New Roman" w:hAnsi="Sylfaen" w:cs="Arial"/>
          <w:sz w:val="24"/>
          <w:szCs w:val="24"/>
          <w:lang w:val="en-GB" w:eastAsia="en-GB"/>
        </w:rPr>
        <w:t>որ Կիպրոսի հունական հատվածում բնակվող թուրքը չի կարող գրանցվել քվեարկելու համար, քանի որ, Կիպրոսի սահմանադրության համաձայն, թուրքերը ներառված են թուրքական ընտրացուցակում, իսկ հույները` հունական: Այսպիսով, նա լիովին զրված էր քվեարկելու իրավունքից:</w:t>
      </w:r>
    </w:p>
    <w:p w:rsidR="002E49F1" w:rsidRPr="002E49F1" w:rsidRDefault="002E49F1" w:rsidP="002E49F1">
      <w:pPr>
        <w:numPr>
          <w:ilvl w:val="0"/>
          <w:numId w:val="1"/>
        </w:numPr>
        <w:spacing w:after="0"/>
        <w:jc w:val="both"/>
        <w:rPr>
          <w:rFonts w:ascii="Sylfaen" w:eastAsia="Times New Roman" w:hAnsi="Sylfaen" w:cs="Arial"/>
          <w:sz w:val="24"/>
          <w:szCs w:val="24"/>
          <w:lang w:val="en-GB" w:eastAsia="en-GB"/>
        </w:rPr>
      </w:pPr>
      <w:r w:rsidRPr="002E49F1">
        <w:rPr>
          <w:rFonts w:ascii="Sylfaen" w:eastAsia="Times New Roman" w:hAnsi="Sylfaen" w:cs="Arial"/>
          <w:sz w:val="24"/>
          <w:szCs w:val="24"/>
          <w:lang w:val="en-GB" w:eastAsia="en-GB"/>
        </w:rPr>
        <w:t>Խտրականության այս կատեգորիայում հանրային շահով կարևորությամբ: Գենդերային և ռասայական հիմքով վերաբերմունքի տարբերության դեմ պայքարում հանրային շահը պահանջում է այս հիմքերով խտրականության հիմնավորման բարձր մակարդակ:</w:t>
      </w:r>
    </w:p>
    <w:p w:rsidR="002E49F1" w:rsidRPr="002E49F1" w:rsidRDefault="002E49F1" w:rsidP="002E49F1">
      <w:pPr>
        <w:spacing w:after="0"/>
        <w:rPr>
          <w:rFonts w:ascii="Sylfaen" w:eastAsia="Times New Roman" w:hAnsi="Sylfaen" w:cs="Arial"/>
          <w:b/>
          <w:i/>
          <w:sz w:val="24"/>
          <w:szCs w:val="24"/>
          <w:lang w:val="en-GB" w:eastAsia="en-GB"/>
        </w:rPr>
      </w:pPr>
    </w:p>
    <w:p w:rsidR="002E49F1" w:rsidRPr="002E49F1" w:rsidRDefault="002E49F1" w:rsidP="002E49F1">
      <w:pPr>
        <w:spacing w:after="0"/>
        <w:rPr>
          <w:rFonts w:ascii="Sylfaen" w:eastAsia="Times New Roman" w:hAnsi="Sylfaen" w:cs="Arial"/>
          <w:b/>
          <w:bCs/>
          <w:sz w:val="24"/>
          <w:szCs w:val="24"/>
          <w:lang w:val="en-GB" w:eastAsia="en-GB"/>
        </w:rPr>
      </w:pPr>
      <w:r w:rsidRPr="002E49F1">
        <w:rPr>
          <w:rFonts w:ascii="Sylfaen" w:eastAsia="Times New Roman" w:hAnsi="Sylfaen" w:cs="Arial"/>
          <w:b/>
          <w:bCs/>
          <w:sz w:val="24"/>
          <w:szCs w:val="24"/>
          <w:lang w:val="en-GB" w:eastAsia="en-GB"/>
        </w:rPr>
        <w:t>Ապացույց</w:t>
      </w:r>
      <w:r w:rsidR="00297D67">
        <w:rPr>
          <w:rFonts w:ascii="Sylfaen" w:eastAsia="Times New Roman" w:hAnsi="Sylfaen" w:cs="Arial"/>
          <w:b/>
          <w:bCs/>
          <w:sz w:val="24"/>
          <w:szCs w:val="24"/>
          <w:lang w:val="en-GB" w:eastAsia="en-GB"/>
        </w:rPr>
        <w:t>ի</w:t>
      </w:r>
      <w:r w:rsidRPr="002E49F1">
        <w:rPr>
          <w:rFonts w:ascii="Sylfaen" w:eastAsia="Times New Roman" w:hAnsi="Sylfaen" w:cs="Arial"/>
          <w:b/>
          <w:bCs/>
          <w:sz w:val="24"/>
          <w:szCs w:val="24"/>
          <w:lang w:val="en-GB" w:eastAsia="en-GB"/>
        </w:rPr>
        <w:t xml:space="preserve"> չափանիշ և ապացուցման պարտավորություն </w:t>
      </w:r>
    </w:p>
    <w:p w:rsidR="002E49F1" w:rsidRPr="002E49F1" w:rsidRDefault="002E49F1" w:rsidP="002E49F1">
      <w:pPr>
        <w:autoSpaceDE w:val="0"/>
        <w:autoSpaceDN w:val="0"/>
        <w:adjustRightInd w:val="0"/>
        <w:spacing w:after="0"/>
        <w:jc w:val="both"/>
        <w:rPr>
          <w:rFonts w:ascii="Sylfaen" w:eastAsia="Times New Roman" w:hAnsi="Sylfaen" w:cs="Arial"/>
          <w:b/>
          <w:i/>
          <w:sz w:val="24"/>
          <w:szCs w:val="24"/>
          <w:lang w:val="en-GB" w:eastAsia="en-GB"/>
        </w:rPr>
      </w:pPr>
    </w:p>
    <w:p w:rsidR="002E49F1" w:rsidRPr="002E49F1" w:rsidRDefault="002E49F1" w:rsidP="002E49F1">
      <w:pPr>
        <w:spacing w:after="0"/>
        <w:jc w:val="both"/>
        <w:rPr>
          <w:rFonts w:ascii="Sylfaen" w:eastAsia="Times New Roman" w:hAnsi="Sylfaen" w:cs="Arial"/>
          <w:sz w:val="24"/>
          <w:szCs w:val="24"/>
          <w:lang w:val="en-GB" w:eastAsia="en-GB"/>
        </w:rPr>
      </w:pPr>
      <w:r w:rsidRPr="002E49F1">
        <w:rPr>
          <w:rFonts w:ascii="Sylfaen" w:eastAsia="Times New Roman" w:hAnsi="Sylfaen" w:cs="Arial"/>
          <w:sz w:val="24"/>
          <w:szCs w:val="24"/>
          <w:lang w:val="en-GB" w:eastAsia="en-GB"/>
        </w:rPr>
        <w:t xml:space="preserve">14-րդ հոդվածին վերաբերող գործերում Դատարանը կիրառում է </w:t>
      </w:r>
      <w:r w:rsidRPr="002E49F1">
        <w:rPr>
          <w:rFonts w:ascii="Sylfaen" w:eastAsia="Times New Roman" w:hAnsi="Sylfaen" w:cs="Arial"/>
          <w:i/>
          <w:sz w:val="24"/>
          <w:szCs w:val="24"/>
          <w:lang w:val="en-GB" w:eastAsia="en-GB"/>
        </w:rPr>
        <w:t xml:space="preserve">ողջամիտ կասկածից դուրս </w:t>
      </w:r>
      <w:r w:rsidRPr="002E49F1">
        <w:rPr>
          <w:rFonts w:ascii="Sylfaen" w:eastAsia="Times New Roman" w:hAnsi="Sylfaen" w:cs="Arial"/>
          <w:sz w:val="24"/>
          <w:szCs w:val="24"/>
          <w:lang w:val="en-GB" w:eastAsia="en-GB"/>
        </w:rPr>
        <w:t xml:space="preserve">ապացույցի ստանդարտը: </w:t>
      </w:r>
    </w:p>
    <w:p w:rsidR="002E49F1" w:rsidRPr="002E49F1" w:rsidRDefault="002E49F1" w:rsidP="002E49F1">
      <w:pPr>
        <w:spacing w:after="0"/>
        <w:jc w:val="both"/>
        <w:rPr>
          <w:rFonts w:ascii="Sylfaen" w:eastAsia="Times New Roman" w:hAnsi="Sylfaen" w:cs="Arial"/>
          <w:sz w:val="24"/>
          <w:szCs w:val="24"/>
          <w:lang w:val="en-GB" w:eastAsia="en-GB"/>
        </w:rPr>
      </w:pPr>
    </w:p>
    <w:p w:rsidR="002E49F1" w:rsidRPr="002E49F1" w:rsidRDefault="002E49F1" w:rsidP="002E49F1">
      <w:pPr>
        <w:spacing w:after="0"/>
        <w:jc w:val="both"/>
        <w:rPr>
          <w:rFonts w:ascii="Sylfaen" w:eastAsia="Times New Roman" w:hAnsi="Sylfaen" w:cs="Arial"/>
          <w:sz w:val="24"/>
          <w:szCs w:val="24"/>
          <w:lang w:val="en-GB" w:eastAsia="en-GB"/>
        </w:rPr>
      </w:pPr>
      <w:r w:rsidRPr="002E49F1">
        <w:rPr>
          <w:rFonts w:ascii="Sylfaen" w:eastAsia="Times New Roman" w:hAnsi="Sylfaen" w:cs="Arial"/>
          <w:i/>
          <w:sz w:val="24"/>
          <w:szCs w:val="24"/>
          <w:lang w:val="en-GB" w:eastAsia="en-GB"/>
        </w:rPr>
        <w:t>Անգուելովան ընդդեմ Բուլղարիայի</w:t>
      </w:r>
      <w:r w:rsidRPr="002E49F1">
        <w:rPr>
          <w:rFonts w:ascii="Sylfaen" w:eastAsia="Times New Roman" w:hAnsi="Sylfaen" w:cs="Arial"/>
          <w:sz w:val="24"/>
          <w:szCs w:val="24"/>
          <w:lang w:val="en-GB" w:eastAsia="en-GB"/>
        </w:rPr>
        <w:t xml:space="preserve"> [</w:t>
      </w:r>
      <w:hyperlink r:id="rId24" w:history="1">
        <w:r w:rsidRPr="002E49F1">
          <w:rPr>
            <w:rFonts w:ascii="Sylfaen" w:eastAsia="Times New Roman" w:hAnsi="Sylfaen" w:cs="Arial"/>
            <w:i/>
            <w:color w:val="0000FF"/>
            <w:sz w:val="24"/>
            <w:szCs w:val="24"/>
            <w:u w:val="single"/>
            <w:lang w:val="en-GB" w:eastAsia="en-GB"/>
          </w:rPr>
          <w:t>Anguelova v. Bulgaria</w:t>
        </w:r>
      </w:hyperlink>
      <w:r w:rsidRPr="002E49F1">
        <w:rPr>
          <w:rFonts w:ascii="Sylfaen" w:eastAsia="Times New Roman" w:hAnsi="Sylfaen" w:cs="Arial"/>
          <w:sz w:val="24"/>
          <w:szCs w:val="24"/>
          <w:lang w:val="en-GB" w:eastAsia="en-GB"/>
        </w:rPr>
        <w:t xml:space="preserve">] (Դիմում թիվ 38361/97, 2002թ. հունիսի 13 վճիռ) գործում դիմումատուի որդին, գնչուական ծագմամբ, մահանում է կալանքի տակ գտնվելու ժամանակ: Դատարանը գտավ, որ դիմումատուի բողոքն այն մասին, որ որդին խոշտանգումների է ենթարկվել իր էթնիկական ծագման պատճառով, առաջ է բերում «լուրջ փաստարկ» և նշեց, որ պետությունը չի կարող բերել որևէ համոզիչ բացատրություն: Սակայն Դատարանը չի կարող եզրակացնել </w:t>
      </w:r>
      <w:r w:rsidRPr="002E49F1">
        <w:rPr>
          <w:rFonts w:ascii="Sylfaen" w:eastAsia="Times New Roman" w:hAnsi="Sylfaen" w:cs="Arial"/>
          <w:i/>
          <w:sz w:val="24"/>
          <w:szCs w:val="24"/>
          <w:lang w:val="en-GB" w:eastAsia="en-GB"/>
        </w:rPr>
        <w:t xml:space="preserve"> ողջամիտ կասկածից դուրս</w:t>
      </w:r>
      <w:r w:rsidRPr="002E49F1">
        <w:rPr>
          <w:rFonts w:ascii="Sylfaen" w:eastAsia="Times New Roman" w:hAnsi="Sylfaen" w:cs="Arial"/>
          <w:sz w:val="24"/>
          <w:szCs w:val="24"/>
          <w:lang w:val="en-GB" w:eastAsia="en-GB"/>
        </w:rPr>
        <w:t xml:space="preserve">, որ մահը և համակողմանի  հետաքննության բացակայությունը պայմանավորված էին ռասայական նախապաշարումներով: Այս եզրակացության արդյունքում  դատավոր Բոնելլոն իր հատուկ կարծիքում նշում  է, որ </w:t>
      </w:r>
    </w:p>
    <w:p w:rsidR="002E49F1" w:rsidRPr="002E49F1" w:rsidRDefault="002E49F1" w:rsidP="002E49F1">
      <w:pPr>
        <w:spacing w:after="0"/>
        <w:jc w:val="both"/>
        <w:rPr>
          <w:rFonts w:ascii="Sylfaen" w:eastAsia="Times New Roman" w:hAnsi="Sylfaen" w:cs="Arial"/>
          <w:i/>
          <w:sz w:val="24"/>
          <w:szCs w:val="24"/>
          <w:lang w:val="en-GB" w:eastAsia="en-GB"/>
        </w:rPr>
      </w:pPr>
    </w:p>
    <w:p w:rsidR="002E49F1" w:rsidRPr="002E49F1" w:rsidRDefault="002E49F1" w:rsidP="002E49F1">
      <w:pPr>
        <w:spacing w:after="0"/>
        <w:jc w:val="both"/>
        <w:rPr>
          <w:rFonts w:ascii="Sylfaen" w:eastAsia="Times New Roman" w:hAnsi="Sylfaen" w:cs="Arial"/>
          <w:sz w:val="24"/>
          <w:szCs w:val="24"/>
          <w:lang w:val="en-GB" w:eastAsia="en-GB"/>
        </w:rPr>
      </w:pPr>
      <w:r w:rsidRPr="002E49F1">
        <w:rPr>
          <w:rFonts w:ascii="Sylfaen" w:eastAsia="Times New Roman" w:hAnsi="Sylfaen" w:cs="Arial"/>
          <w:i/>
          <w:sz w:val="24"/>
          <w:szCs w:val="24"/>
          <w:lang w:val="en-GB" w:eastAsia="en-GB"/>
        </w:rPr>
        <w:t>Քուրդերը, մաշկի այլ գույն ունեցող անձինք, մահմեդականները, գնչուները և ուրիշներ կրկին սպանվում են, խոշտանգվում և խեղվում, սակայն Դատարանը դեռևս չի համոզվել, որ այս ամենը կապ ունի ռասայի, մաշկի գույնի, ազգության և ծագման վայրի հետ:</w:t>
      </w:r>
      <w:r w:rsidRPr="002E49F1">
        <w:rPr>
          <w:rFonts w:ascii="Sylfaen" w:eastAsia="Times New Roman" w:hAnsi="Sylfaen" w:cs="Arial"/>
          <w:sz w:val="24"/>
          <w:szCs w:val="24"/>
          <w:lang w:val="en-GB" w:eastAsia="en-GB"/>
        </w:rPr>
        <w:t xml:space="preserve">  </w:t>
      </w:r>
    </w:p>
    <w:p w:rsidR="002E49F1" w:rsidRPr="002E49F1" w:rsidRDefault="002E49F1" w:rsidP="002E49F1">
      <w:pPr>
        <w:spacing w:after="0"/>
        <w:jc w:val="both"/>
        <w:rPr>
          <w:rFonts w:ascii="Sylfaen" w:eastAsia="Times New Roman" w:hAnsi="Sylfaen" w:cs="Arial"/>
          <w:sz w:val="24"/>
          <w:szCs w:val="24"/>
          <w:lang w:val="en-GB" w:eastAsia="en-GB"/>
        </w:rPr>
      </w:pPr>
    </w:p>
    <w:p w:rsidR="002E49F1" w:rsidRPr="002E49F1" w:rsidRDefault="002E49F1" w:rsidP="002E49F1">
      <w:pPr>
        <w:spacing w:after="0"/>
        <w:jc w:val="both"/>
        <w:rPr>
          <w:rFonts w:ascii="Sylfaen" w:eastAsia="Times New Roman" w:hAnsi="Sylfaen" w:cs="Arial"/>
          <w:sz w:val="24"/>
          <w:szCs w:val="24"/>
          <w:lang w:val="en-GB" w:eastAsia="en-GB"/>
        </w:rPr>
      </w:pPr>
      <w:r w:rsidRPr="002E49F1">
        <w:rPr>
          <w:rFonts w:ascii="Sylfaen" w:eastAsia="Times New Roman" w:hAnsi="Sylfaen" w:cs="Arial"/>
          <w:sz w:val="24"/>
          <w:szCs w:val="24"/>
          <w:lang w:val="en-GB" w:eastAsia="en-GB"/>
        </w:rPr>
        <w:t xml:space="preserve">Դատարանի ավանդական մոտեցումը վիճարկվեց </w:t>
      </w:r>
      <w:r w:rsidRPr="002E49F1">
        <w:rPr>
          <w:rFonts w:ascii="Sylfaen" w:eastAsia="Times New Roman" w:hAnsi="Sylfaen" w:cs="Arial"/>
          <w:i/>
          <w:sz w:val="24"/>
          <w:szCs w:val="24"/>
          <w:lang w:val="en-GB" w:eastAsia="en-GB"/>
        </w:rPr>
        <w:t>Նաչովան ընդդեմ Բուլղարիայի [</w:t>
      </w:r>
      <w:hyperlink r:id="rId25" w:history="1">
        <w:r w:rsidRPr="002E49F1">
          <w:rPr>
            <w:rFonts w:ascii="Sylfaen" w:eastAsia="Times New Roman" w:hAnsi="Sylfaen" w:cs="Arial"/>
            <w:i/>
            <w:color w:val="0000FF"/>
            <w:sz w:val="24"/>
            <w:szCs w:val="24"/>
            <w:u w:val="single"/>
            <w:lang w:val="en-GB" w:eastAsia="en-GB"/>
          </w:rPr>
          <w:t>Nachova v. Bulgaria</w:t>
        </w:r>
      </w:hyperlink>
      <w:r w:rsidRPr="002E49F1">
        <w:rPr>
          <w:rFonts w:ascii="Sylfaen" w:eastAsia="Times New Roman" w:hAnsi="Sylfaen" w:cs="Times New Roman"/>
          <w:sz w:val="24"/>
          <w:szCs w:val="24"/>
          <w:lang w:val="en-GB" w:eastAsia="en-GB"/>
        </w:rPr>
        <w:t>]</w:t>
      </w:r>
      <w:r w:rsidRPr="002E49F1">
        <w:rPr>
          <w:rFonts w:ascii="Sylfaen" w:eastAsia="Times New Roman" w:hAnsi="Sylfaen" w:cs="Arial"/>
          <w:i/>
          <w:sz w:val="24"/>
          <w:szCs w:val="24"/>
          <w:lang w:val="en-GB" w:eastAsia="en-GB"/>
        </w:rPr>
        <w:t>,</w:t>
      </w:r>
      <w:r w:rsidRPr="002E49F1">
        <w:rPr>
          <w:rFonts w:ascii="Sylfaen" w:eastAsia="Times New Roman" w:hAnsi="Sylfaen" w:cs="Arial"/>
          <w:sz w:val="24"/>
          <w:szCs w:val="24"/>
          <w:lang w:val="en-GB" w:eastAsia="en-GB"/>
        </w:rPr>
        <w:t xml:space="preserve"> (դիմումներ թիվ. 43577/98 - 43579/98, </w:t>
      </w:r>
      <w:r w:rsidRPr="002E49F1">
        <w:rPr>
          <w:rFonts w:ascii="Sylfaen" w:eastAsia="Times New Roman" w:hAnsi="Sylfaen" w:cs="Arial"/>
          <w:sz w:val="24"/>
          <w:szCs w:val="24"/>
          <w:lang w:val="es-GT" w:eastAsia="en-GB"/>
        </w:rPr>
        <w:t xml:space="preserve">2005թ. ուլիսի 6-ի վճիռ, կետ147) գործում, ուր դիմումատուները և միջնորդ կազմակերպությունը պնդում էին, որ շատ դժվար է ապահովել </w:t>
      </w:r>
      <w:r w:rsidRPr="002E49F1">
        <w:rPr>
          <w:rFonts w:ascii="Sylfaen" w:eastAsia="Times New Roman" w:hAnsi="Sylfaen" w:cs="Arial"/>
          <w:i/>
          <w:sz w:val="24"/>
          <w:szCs w:val="24"/>
          <w:lang w:val="es-GT" w:eastAsia="en-GB"/>
        </w:rPr>
        <w:t xml:space="preserve">ողջամիտ կասկածներից դուրս </w:t>
      </w:r>
      <w:r w:rsidRPr="002E49F1">
        <w:rPr>
          <w:rFonts w:ascii="Sylfaen" w:eastAsia="Times New Roman" w:hAnsi="Sylfaen" w:cs="Arial"/>
          <w:sz w:val="24"/>
          <w:szCs w:val="24"/>
          <w:lang w:val="es-GT" w:eastAsia="en-GB"/>
        </w:rPr>
        <w:t xml:space="preserve"> ապացույցի չափանիշը և ցույց տվեցին այլ դատարանների կողմից խտրականության դեպքերում ապացուցման պարտավորության հակադարձման կիրառման աճող միտումները: </w:t>
      </w:r>
    </w:p>
    <w:p w:rsidR="002E49F1" w:rsidRPr="002E49F1" w:rsidRDefault="002E49F1" w:rsidP="002E49F1">
      <w:pPr>
        <w:spacing w:after="0"/>
        <w:jc w:val="both"/>
        <w:rPr>
          <w:rFonts w:ascii="Sylfaen" w:eastAsia="Times New Roman" w:hAnsi="Sylfaen" w:cs="Arial"/>
          <w:sz w:val="24"/>
          <w:szCs w:val="24"/>
          <w:lang w:val="en-GB" w:eastAsia="en-GB"/>
        </w:rPr>
      </w:pPr>
    </w:p>
    <w:p w:rsidR="002E49F1" w:rsidRPr="002E49F1" w:rsidRDefault="002E49F1" w:rsidP="002E49F1">
      <w:pPr>
        <w:spacing w:after="0"/>
        <w:jc w:val="both"/>
        <w:rPr>
          <w:rFonts w:ascii="Sylfaen" w:eastAsia="Times New Roman" w:hAnsi="Sylfaen" w:cs="Arial"/>
          <w:sz w:val="24"/>
          <w:szCs w:val="24"/>
          <w:lang w:val="en-GB" w:eastAsia="en-GB"/>
        </w:rPr>
      </w:pPr>
      <w:r w:rsidRPr="002E49F1">
        <w:rPr>
          <w:rFonts w:ascii="Sylfaen" w:eastAsia="Times New Roman" w:hAnsi="Sylfaen" w:cs="Times New Roman"/>
          <w:i/>
          <w:sz w:val="24"/>
          <w:szCs w:val="24"/>
          <w:lang w:val="en-GB" w:eastAsia="en-GB"/>
        </w:rPr>
        <w:t>Նաչովա [</w:t>
      </w:r>
      <w:hyperlink r:id="rId26" w:history="1">
        <w:r w:rsidRPr="002E49F1">
          <w:rPr>
            <w:rFonts w:ascii="Sylfaen" w:eastAsia="Times New Roman" w:hAnsi="Sylfaen" w:cs="Arial"/>
            <w:i/>
            <w:color w:val="0000FF"/>
            <w:sz w:val="24"/>
            <w:szCs w:val="24"/>
            <w:u w:val="single"/>
            <w:lang w:val="en-GB" w:eastAsia="en-GB"/>
          </w:rPr>
          <w:t>Nachova</w:t>
        </w:r>
      </w:hyperlink>
      <w:r w:rsidRPr="002E49F1">
        <w:rPr>
          <w:rFonts w:ascii="Sylfaen" w:eastAsia="Times New Roman" w:hAnsi="Sylfaen" w:cs="Times New Roman"/>
          <w:sz w:val="24"/>
          <w:szCs w:val="24"/>
          <w:lang w:val="en-GB" w:eastAsia="en-GB"/>
        </w:rPr>
        <w:t xml:space="preserve">] գործում Մեծ պալատը </w:t>
      </w:r>
      <w:r w:rsidRPr="002E49F1">
        <w:rPr>
          <w:rFonts w:ascii="Sylfaen" w:eastAsia="Times New Roman" w:hAnsi="Sylfaen" w:cs="Arial"/>
          <w:sz w:val="24"/>
          <w:szCs w:val="24"/>
          <w:lang w:val="en-GB" w:eastAsia="en-GB"/>
        </w:rPr>
        <w:t xml:space="preserve"> ճանաչեց</w:t>
      </w:r>
      <w:r w:rsidRPr="002E49F1">
        <w:rPr>
          <w:rFonts w:ascii="Sylfaen" w:eastAsia="Times New Roman" w:hAnsi="Sylfaen" w:cs="Arial"/>
          <w:i/>
          <w:sz w:val="24"/>
          <w:szCs w:val="24"/>
          <w:lang w:val="es-GT" w:eastAsia="en-GB"/>
        </w:rPr>
        <w:t xml:space="preserve"> ողջամիտ կասկածներից դուրս </w:t>
      </w:r>
      <w:r w:rsidRPr="002E49F1">
        <w:rPr>
          <w:rFonts w:ascii="Sylfaen" w:eastAsia="Times New Roman" w:hAnsi="Sylfaen" w:cs="Arial"/>
          <w:sz w:val="24"/>
          <w:szCs w:val="24"/>
          <w:lang w:val="es-GT" w:eastAsia="en-GB"/>
        </w:rPr>
        <w:t xml:space="preserve"> չափանիշը, սակայն  նշեց, որ Դատարանն երբեք նպատակ չի ունեցել փոխառել  այս չափանիշը կիրառող ներպետական դատարանների մոտեցումը և որ այն չունի որևէ ընթացակարգային խոչընդոտ ապացույցների ընդունելիության կամ իր գնահատականի նախնական ձևակերպումների հետ կապված: Դատարանը նշեց, որ այն կարող է իր եզրակացությունները հիմնել փաստերից բխող միջամտությունների վրա և ամփոփեց, որ </w:t>
      </w:r>
    </w:p>
    <w:p w:rsidR="002E49F1" w:rsidRPr="002E49F1" w:rsidRDefault="002E49F1" w:rsidP="002E49F1">
      <w:pPr>
        <w:spacing w:after="0"/>
        <w:jc w:val="both"/>
        <w:rPr>
          <w:rFonts w:ascii="Sylfaen" w:eastAsia="Times New Roman" w:hAnsi="Sylfaen" w:cs="Arial"/>
          <w:i/>
          <w:sz w:val="24"/>
          <w:szCs w:val="24"/>
          <w:lang w:val="en-GB" w:eastAsia="en-GB"/>
        </w:rPr>
      </w:pPr>
    </w:p>
    <w:p w:rsidR="002E49F1" w:rsidRPr="002E49F1" w:rsidRDefault="002E49F1" w:rsidP="002E49F1">
      <w:pPr>
        <w:spacing w:after="0"/>
        <w:jc w:val="both"/>
        <w:rPr>
          <w:rFonts w:ascii="Sylfaen" w:eastAsia="Times New Roman" w:hAnsi="Sylfaen" w:cs="Arial"/>
          <w:i/>
          <w:sz w:val="24"/>
          <w:szCs w:val="24"/>
          <w:lang w:val="en-GB" w:eastAsia="en-GB"/>
        </w:rPr>
      </w:pPr>
      <w:r w:rsidRPr="002E49F1">
        <w:rPr>
          <w:rFonts w:ascii="Sylfaen" w:eastAsia="Times New Roman" w:hAnsi="Sylfaen" w:cs="Arial"/>
          <w:i/>
          <w:sz w:val="24"/>
          <w:szCs w:val="24"/>
          <w:lang w:val="en-GB" w:eastAsia="en-GB"/>
        </w:rPr>
        <w:t>147 ... փաստերը կարող են ծագել բավարար ուժեղ, հստակ և համաձայնեցված եզրահանգումների գոյակցությունից կամ փաստերի նման անհերքելի ենթադրություններից:</w:t>
      </w:r>
    </w:p>
    <w:p w:rsidR="002E49F1" w:rsidRPr="002E49F1" w:rsidRDefault="002E49F1" w:rsidP="002E49F1">
      <w:pPr>
        <w:spacing w:after="0"/>
        <w:jc w:val="both"/>
        <w:rPr>
          <w:rFonts w:ascii="Sylfaen" w:eastAsia="Times New Roman" w:hAnsi="Sylfaen" w:cs="Arial"/>
          <w:i/>
          <w:sz w:val="24"/>
          <w:szCs w:val="24"/>
          <w:lang w:val="en-GB" w:eastAsia="en-GB"/>
        </w:rPr>
      </w:pPr>
    </w:p>
    <w:p w:rsidR="002E49F1" w:rsidRPr="002E49F1" w:rsidRDefault="002E49F1" w:rsidP="002E49F1">
      <w:pPr>
        <w:spacing w:after="0"/>
        <w:jc w:val="both"/>
        <w:rPr>
          <w:rFonts w:ascii="Sylfaen" w:eastAsia="Times New Roman" w:hAnsi="Sylfaen" w:cs="Arial"/>
          <w:sz w:val="24"/>
          <w:szCs w:val="24"/>
          <w:lang w:val="en-GB" w:eastAsia="en-GB"/>
        </w:rPr>
      </w:pPr>
      <w:r w:rsidRPr="002E49F1">
        <w:rPr>
          <w:rFonts w:ascii="Sylfaen" w:eastAsia="Times New Roman" w:hAnsi="Sylfaen" w:cs="Arial"/>
          <w:i/>
          <w:sz w:val="24"/>
          <w:szCs w:val="24"/>
          <w:lang w:val="en-GB" w:eastAsia="en-GB"/>
        </w:rPr>
        <w:t>Միզինգարովան ընդդեմ Սլովակայի [</w:t>
      </w:r>
      <w:hyperlink r:id="rId27" w:history="1">
        <w:r w:rsidRPr="002E49F1">
          <w:rPr>
            <w:rFonts w:ascii="Sylfaen" w:eastAsia="Times New Roman" w:hAnsi="Sylfaen" w:cs="Arial"/>
            <w:i/>
            <w:color w:val="0000FF"/>
            <w:sz w:val="24"/>
            <w:szCs w:val="24"/>
            <w:u w:val="single"/>
            <w:lang w:val="en-GB" w:eastAsia="en-GB"/>
          </w:rPr>
          <w:t>Mizigarova v. Slovakia</w:t>
        </w:r>
      </w:hyperlink>
      <w:r w:rsidRPr="002E49F1">
        <w:rPr>
          <w:rFonts w:ascii="Sylfaen" w:eastAsia="Times New Roman" w:hAnsi="Sylfaen" w:cs="Arial"/>
          <w:sz w:val="24"/>
          <w:szCs w:val="24"/>
          <w:lang w:val="en-GB" w:eastAsia="en-GB"/>
        </w:rPr>
        <w:t xml:space="preserve">] (դիմում թիվ. 74832/01, 2010թ. դեկտեմբերի  14-ի վճիռ) գործում դիմումատուն ներկայացնում էր ՄԱԿ-ի համապատասպան մարմինների և միջազգային ոչ կառավարական կազմակերպությունների զեկույցները որպես գնչուական ծագման անձանց նկատմամբ ոստիկանության կողմից կատարված համատարած  բռնությունների ապացույց: Դատարանը գտավ, որ զեկույցներն ապացուցողական անբավարար հիմքեր են, որոնց հիման վրա  հնարավոր է որոշումներ կայացնել այն մասին, թե արդյոք դիմումաուների նկատմամբ վերաբերմունքը պայմանավորված է եղել ռասիզմով: </w:t>
      </w:r>
    </w:p>
    <w:p w:rsidR="002E49F1" w:rsidRPr="002E49F1" w:rsidRDefault="002E49F1" w:rsidP="002E49F1">
      <w:pPr>
        <w:spacing w:after="0"/>
        <w:jc w:val="both"/>
        <w:rPr>
          <w:rFonts w:ascii="Sylfaen" w:eastAsia="Times New Roman" w:hAnsi="Sylfaen" w:cs="Arial"/>
          <w:sz w:val="24"/>
          <w:szCs w:val="24"/>
          <w:lang w:val="en-GB" w:eastAsia="en-GB"/>
        </w:rPr>
      </w:pPr>
    </w:p>
    <w:p w:rsidR="002E49F1" w:rsidRPr="002E49F1" w:rsidRDefault="002E49F1" w:rsidP="002E49F1">
      <w:pPr>
        <w:spacing w:after="0"/>
        <w:jc w:val="both"/>
        <w:rPr>
          <w:rFonts w:ascii="Sylfaen" w:eastAsia="Times New Roman" w:hAnsi="Sylfaen" w:cs="Arial"/>
          <w:sz w:val="24"/>
          <w:szCs w:val="24"/>
          <w:lang w:val="en-GB" w:eastAsia="en-GB"/>
        </w:rPr>
      </w:pPr>
      <w:r w:rsidRPr="002E49F1">
        <w:rPr>
          <w:rFonts w:ascii="Sylfaen" w:eastAsia="Times New Roman" w:hAnsi="Sylfaen" w:cs="Arial"/>
          <w:sz w:val="24"/>
          <w:szCs w:val="24"/>
          <w:lang w:val="en-GB" w:eastAsia="en-GB"/>
        </w:rPr>
        <w:t xml:space="preserve">Այնուամենայնիվ, Դատավոր Դավիթ Թոր Բյորգվինսոնը հանդես եկավ հատուկ կարծիքով` գտնելով, որ կար </w:t>
      </w:r>
    </w:p>
    <w:p w:rsidR="002E49F1" w:rsidRPr="002E49F1" w:rsidRDefault="002E49F1" w:rsidP="002E49F1">
      <w:pPr>
        <w:spacing w:after="0"/>
        <w:jc w:val="both"/>
        <w:rPr>
          <w:rFonts w:ascii="Sylfaen" w:eastAsia="Times New Roman" w:hAnsi="Sylfaen" w:cs="Arial"/>
          <w:i/>
          <w:sz w:val="24"/>
          <w:szCs w:val="24"/>
          <w:lang w:val="en-GB" w:eastAsia="en-GB"/>
        </w:rPr>
      </w:pPr>
      <w:r w:rsidRPr="002E49F1">
        <w:rPr>
          <w:rFonts w:ascii="Sylfaen" w:eastAsia="Times New Roman" w:hAnsi="Sylfaen" w:cs="Arial"/>
          <w:i/>
          <w:sz w:val="24"/>
          <w:szCs w:val="24"/>
          <w:lang w:val="en-GB" w:eastAsia="en-GB"/>
        </w:rPr>
        <w:t xml:space="preserve">… բավականին օբյեկտիվ ապացույց թշնամական ռասիստական դրդապատճառների գոյության մասին ենթադրելու համար: Ավելին, այս զեկույցներում միջազգային մարմինների կողմից շարունակական քննադատություններն ահազանգ պետք է </w:t>
      </w:r>
      <w:r w:rsidRPr="002E49F1">
        <w:rPr>
          <w:rFonts w:ascii="Sylfaen" w:eastAsia="Times New Roman" w:hAnsi="Sylfaen" w:cs="Arial"/>
          <w:i/>
          <w:sz w:val="24"/>
          <w:szCs w:val="24"/>
          <w:lang w:val="en-GB" w:eastAsia="en-GB"/>
        </w:rPr>
        <w:lastRenderedPageBreak/>
        <w:t xml:space="preserve">լինեին իշխանությունների համար նման դրդապատճառի հնարավոր գոյության վերաբերյալ: Այսպիսով, իմ կարծիքով, իշխանությունները պարտավոր էին վարել հետաքննություն պարզելու համար, թե արդյոք ռասիստական դրդապատճառները դերակատարում են ունեցել պրն Լյուբոմիր Սարիսկիի մահվան դեպքում:  Քանի որ նման հետաքննություն չի կատարվել, ես եզրակացնում եմ, որ  տեղի է ունեցել  14-րդ հոդվածի ընթացակարգային խախտում` Կոնվենցիայի 2-րդ հոդվածի համակցությամբ: </w:t>
      </w:r>
    </w:p>
    <w:p w:rsidR="002E49F1" w:rsidRPr="002E49F1" w:rsidRDefault="002E49F1" w:rsidP="002E49F1">
      <w:pPr>
        <w:spacing w:after="0"/>
        <w:jc w:val="both"/>
        <w:rPr>
          <w:rFonts w:ascii="Sylfaen" w:eastAsia="Times New Roman" w:hAnsi="Sylfaen" w:cs="Arial"/>
          <w:sz w:val="24"/>
          <w:szCs w:val="24"/>
          <w:lang w:val="en-GB" w:eastAsia="en-GB"/>
        </w:rPr>
      </w:pPr>
    </w:p>
    <w:p w:rsidR="002E49F1" w:rsidRPr="002E49F1" w:rsidRDefault="002E49F1" w:rsidP="002E49F1">
      <w:pPr>
        <w:spacing w:after="0"/>
        <w:jc w:val="both"/>
        <w:rPr>
          <w:rFonts w:ascii="Sylfaen" w:eastAsia="Times New Roman" w:hAnsi="Sylfaen" w:cs="Arial"/>
          <w:b/>
          <w:i/>
          <w:sz w:val="24"/>
          <w:szCs w:val="24"/>
          <w:lang w:val="en-GB" w:eastAsia="en-GB"/>
        </w:rPr>
      </w:pPr>
      <w:r w:rsidRPr="002E49F1">
        <w:rPr>
          <w:rFonts w:ascii="Sylfaen" w:eastAsia="Times New Roman" w:hAnsi="Sylfaen" w:cs="Arial"/>
          <w:b/>
          <w:i/>
          <w:sz w:val="24"/>
          <w:szCs w:val="24"/>
          <w:lang w:val="en-GB" w:eastAsia="en-GB"/>
        </w:rPr>
        <w:t>Ապացուցման պարտավորություն</w:t>
      </w:r>
    </w:p>
    <w:p w:rsidR="002E49F1" w:rsidRDefault="002E49F1" w:rsidP="002E49F1">
      <w:pPr>
        <w:spacing w:after="0"/>
        <w:jc w:val="both"/>
        <w:rPr>
          <w:rFonts w:ascii="Sylfaen" w:eastAsia="Times New Roman" w:hAnsi="Sylfaen" w:cs="Arial"/>
          <w:sz w:val="24"/>
          <w:szCs w:val="24"/>
          <w:lang w:val="en-GB" w:eastAsia="en-GB"/>
        </w:rPr>
      </w:pPr>
    </w:p>
    <w:p w:rsidR="002E49F1" w:rsidRPr="002E49F1" w:rsidRDefault="002E49F1" w:rsidP="002E49F1">
      <w:pPr>
        <w:spacing w:after="0"/>
        <w:jc w:val="both"/>
        <w:rPr>
          <w:rFonts w:ascii="Sylfaen" w:eastAsia="Times New Roman" w:hAnsi="Sylfaen" w:cs="Arial"/>
          <w:sz w:val="24"/>
          <w:szCs w:val="24"/>
          <w:lang w:val="en-GB" w:eastAsia="en-GB"/>
        </w:rPr>
      </w:pPr>
      <w:r w:rsidRPr="002E49F1">
        <w:rPr>
          <w:rFonts w:ascii="Sylfaen" w:eastAsia="Times New Roman" w:hAnsi="Sylfaen" w:cs="Arial"/>
          <w:sz w:val="24"/>
          <w:szCs w:val="24"/>
          <w:lang w:val="en-GB" w:eastAsia="en-GB"/>
        </w:rPr>
        <w:t xml:space="preserve">14-րդ հոդվածի վերաբերյալ գործերում դիմումատուն պետք է ապացուցի, որ տեղի է ունեցել տարբերակված վերաբերմունք: Երբ այս պայմանը բավարարվում է, այդ ժամանակ ապացուցման պարտավորությունը հակադարձվում է պատասխանող պետությանը, որը պետք է ապացուցի, որ այդ վերաբերմունքը հիմնավորված է եղել: </w:t>
      </w:r>
    </w:p>
    <w:p w:rsidR="002E49F1" w:rsidRPr="002E49F1" w:rsidRDefault="002E49F1" w:rsidP="002E49F1">
      <w:pPr>
        <w:spacing w:after="0"/>
        <w:jc w:val="both"/>
        <w:rPr>
          <w:rFonts w:ascii="Sylfaen" w:eastAsia="Times New Roman" w:hAnsi="Sylfaen" w:cs="Arial"/>
          <w:i/>
          <w:sz w:val="24"/>
          <w:szCs w:val="24"/>
          <w:lang w:val="en-GB" w:eastAsia="en-GB"/>
        </w:rPr>
      </w:pPr>
    </w:p>
    <w:p w:rsidR="002E49F1" w:rsidRPr="002E49F1" w:rsidRDefault="002E49F1" w:rsidP="002E49F1">
      <w:pPr>
        <w:spacing w:after="0"/>
        <w:jc w:val="both"/>
        <w:rPr>
          <w:rFonts w:ascii="Sylfaen" w:eastAsia="Times New Roman" w:hAnsi="Sylfaen" w:cs="Arial"/>
          <w:sz w:val="24"/>
          <w:szCs w:val="24"/>
          <w:lang w:val="en-GB" w:eastAsia="en-GB"/>
        </w:rPr>
      </w:pPr>
      <w:proofErr w:type="gramStart"/>
      <w:r w:rsidRPr="002E49F1">
        <w:rPr>
          <w:rFonts w:ascii="Sylfaen" w:eastAsia="Times New Roman" w:hAnsi="Sylfaen" w:cs="Arial"/>
          <w:sz w:val="24"/>
          <w:szCs w:val="24"/>
          <w:lang w:val="en-GB" w:eastAsia="en-GB"/>
        </w:rPr>
        <w:t>Մեծ պալատն այս կարծիքը հայտնել է</w:t>
      </w:r>
      <w:r w:rsidRPr="002E49F1">
        <w:rPr>
          <w:rFonts w:ascii="Sylfaen" w:eastAsia="Times New Roman" w:hAnsi="Sylfaen" w:cs="Arial"/>
          <w:i/>
          <w:sz w:val="24"/>
          <w:szCs w:val="24"/>
          <w:lang w:val="en-GB" w:eastAsia="en-GB"/>
        </w:rPr>
        <w:t xml:space="preserve"> ԴՀ-ն ընդդեմ Չեխիայի հանրապետության </w:t>
      </w:r>
      <w:r w:rsidRPr="002E49F1">
        <w:rPr>
          <w:rFonts w:ascii="Sylfaen" w:eastAsia="Times New Roman" w:hAnsi="Sylfaen" w:cs="Arial"/>
          <w:sz w:val="24"/>
          <w:szCs w:val="24"/>
          <w:lang w:val="en-GB" w:eastAsia="en-GB"/>
        </w:rPr>
        <w:t xml:space="preserve">գործի կապակցությամբ </w:t>
      </w:r>
      <w:r w:rsidRPr="002E49F1">
        <w:rPr>
          <w:rFonts w:ascii="Sylfaen" w:eastAsia="Times New Roman" w:hAnsi="Sylfaen" w:cs="Arial"/>
          <w:i/>
          <w:sz w:val="24"/>
          <w:szCs w:val="24"/>
          <w:lang w:val="en-GB" w:eastAsia="en-GB"/>
        </w:rPr>
        <w:t>[</w:t>
      </w:r>
      <w:hyperlink r:id="rId28" w:history="1">
        <w:r w:rsidRPr="002E49F1">
          <w:rPr>
            <w:rFonts w:ascii="Sylfaen" w:eastAsia="Times New Roman" w:hAnsi="Sylfaen" w:cs="Arial"/>
            <w:i/>
            <w:color w:val="0000FF"/>
            <w:sz w:val="24"/>
            <w:szCs w:val="24"/>
            <w:u w:val="single"/>
            <w:lang w:val="en-GB" w:eastAsia="en-GB"/>
          </w:rPr>
          <w:t>DH v.</w:t>
        </w:r>
        <w:proofErr w:type="gramEnd"/>
        <w:r w:rsidRPr="002E49F1">
          <w:rPr>
            <w:rFonts w:ascii="Sylfaen" w:eastAsia="Times New Roman" w:hAnsi="Sylfaen" w:cs="Arial"/>
            <w:i/>
            <w:color w:val="0000FF"/>
            <w:sz w:val="24"/>
            <w:szCs w:val="24"/>
            <w:u w:val="single"/>
            <w:lang w:val="en-GB" w:eastAsia="en-GB"/>
          </w:rPr>
          <w:t xml:space="preserve"> The Czech Republic</w:t>
        </w:r>
      </w:hyperlink>
      <w:r w:rsidRPr="002E49F1">
        <w:rPr>
          <w:rFonts w:ascii="Sylfaen" w:eastAsia="Times New Roman" w:hAnsi="Sylfaen" w:cs="Arial"/>
          <w:i/>
          <w:sz w:val="24"/>
          <w:szCs w:val="24"/>
          <w:lang w:val="en-GB" w:eastAsia="en-GB"/>
        </w:rPr>
        <w:t>]</w:t>
      </w:r>
      <w:r w:rsidRPr="002E49F1">
        <w:rPr>
          <w:rFonts w:ascii="Sylfaen" w:eastAsia="Times New Roman" w:hAnsi="Sylfaen" w:cs="Arial"/>
          <w:sz w:val="24"/>
          <w:szCs w:val="24"/>
          <w:lang w:val="en-GB" w:eastAsia="en-GB"/>
        </w:rPr>
        <w:t xml:space="preserve"> (Դիմում թիվ. 57325/00, 2007թ. նոյեմբերի 13-ի վճիռ).</w:t>
      </w:r>
    </w:p>
    <w:p w:rsidR="002E49F1" w:rsidRPr="002E49F1" w:rsidRDefault="002E49F1" w:rsidP="002E49F1">
      <w:pPr>
        <w:spacing w:after="0"/>
        <w:jc w:val="both"/>
        <w:rPr>
          <w:rFonts w:ascii="Sylfaen" w:eastAsia="Times New Roman" w:hAnsi="Sylfaen" w:cs="Arial"/>
          <w:sz w:val="24"/>
          <w:szCs w:val="24"/>
          <w:lang w:val="en-GB" w:eastAsia="en-GB"/>
        </w:rPr>
      </w:pPr>
      <w:r w:rsidRPr="002E49F1">
        <w:rPr>
          <w:rFonts w:ascii="Sylfaen" w:eastAsia="Times New Roman" w:hAnsi="Sylfaen" w:cs="Arial"/>
          <w:i/>
          <w:sz w:val="24"/>
          <w:szCs w:val="24"/>
          <w:lang w:val="en-GB" w:eastAsia="en-GB"/>
        </w:rPr>
        <w:t xml:space="preserve">189 ...Երբ դիմումատուն պնդում է, որ տեղի է ունեցել անուղղակի խտրականություն, այսպիսով, հաստատում է անհերքելի ենթադրություն այն մասին, որ միջոցի կամ գործելակերպի ազդեցությոնը խտրական է եղել: Այդ ժամանակ ապացուցման պարտավորությունը փոխանցվում է պատասխանող պետության, որը պետք է ցույց տա, որ վերաբերմունքի տարբերությունը խտրական չէ: </w:t>
      </w:r>
    </w:p>
    <w:p w:rsidR="002E49F1" w:rsidRPr="002E49F1" w:rsidRDefault="002E49F1" w:rsidP="002E49F1">
      <w:pPr>
        <w:spacing w:after="0"/>
        <w:jc w:val="both"/>
        <w:rPr>
          <w:rFonts w:ascii="Sylfaen" w:eastAsia="Times New Roman" w:hAnsi="Sylfaen" w:cs="Arial"/>
          <w:i/>
          <w:sz w:val="24"/>
          <w:szCs w:val="24"/>
          <w:lang w:val="en-GB" w:eastAsia="en-GB"/>
        </w:rPr>
      </w:pPr>
    </w:p>
    <w:p w:rsidR="002E49F1" w:rsidRPr="002E49F1" w:rsidRDefault="002E49F1" w:rsidP="002E49F1">
      <w:pPr>
        <w:suppressAutoHyphens/>
        <w:spacing w:after="0"/>
        <w:jc w:val="both"/>
        <w:rPr>
          <w:rFonts w:ascii="Sylfaen" w:eastAsia="Times New Roman" w:hAnsi="Sylfaen" w:cs="Arial"/>
          <w:sz w:val="24"/>
          <w:szCs w:val="24"/>
          <w:lang w:val="en-GB"/>
        </w:rPr>
      </w:pPr>
      <w:r w:rsidRPr="002E49F1">
        <w:rPr>
          <w:rFonts w:ascii="Sylfaen" w:eastAsia="Times New Roman" w:hAnsi="Sylfaen" w:cs="Arial"/>
          <w:sz w:val="24"/>
          <w:szCs w:val="24"/>
          <w:lang w:val="en-GB"/>
        </w:rPr>
        <w:t xml:space="preserve">Այս անհերքելի ենթադրությունը ստեղծելու համար, Մեծ Պալատը նշում է, որ </w:t>
      </w:r>
    </w:p>
    <w:p w:rsidR="002E49F1" w:rsidRPr="002E49F1" w:rsidRDefault="002E49F1" w:rsidP="002E49F1">
      <w:pPr>
        <w:suppressAutoHyphens/>
        <w:spacing w:after="0"/>
        <w:jc w:val="both"/>
        <w:rPr>
          <w:rFonts w:ascii="Sylfaen" w:eastAsia="Times New Roman" w:hAnsi="Sylfaen" w:cs="Arial"/>
          <w:sz w:val="24"/>
          <w:szCs w:val="24"/>
          <w:lang w:val="en-GB"/>
        </w:rPr>
      </w:pPr>
    </w:p>
    <w:p w:rsidR="002E49F1" w:rsidRPr="002E49F1" w:rsidRDefault="002E49F1" w:rsidP="002E49F1">
      <w:pPr>
        <w:suppressAutoHyphens/>
        <w:spacing w:after="0"/>
        <w:jc w:val="both"/>
        <w:rPr>
          <w:rFonts w:ascii="Sylfaen" w:eastAsia="Times New Roman" w:hAnsi="Sylfaen" w:cs="Arial"/>
          <w:sz w:val="24"/>
          <w:szCs w:val="24"/>
          <w:lang w:val="en-GB"/>
        </w:rPr>
      </w:pPr>
      <w:r w:rsidRPr="002E49F1">
        <w:rPr>
          <w:rFonts w:ascii="Sylfaen" w:eastAsia="Times New Roman" w:hAnsi="Sylfaen" w:cs="Arial"/>
          <w:i/>
          <w:sz w:val="24"/>
          <w:szCs w:val="24"/>
          <w:lang w:val="en-GB"/>
        </w:rPr>
        <w:t>188 …Վիճակագրական տվյալները, որոնք ուսումնասիրության ժամանակ համարվում են համոզիչ և զգալի, բավարար են դիմումատուից պահանջվող անհերքելի ապացույց համարվելու համար: Սակայն սա չի նշանակում, որ անուղղակի խտրականությունը չի կարող ապացուցվել առանց վիճակագրական ապացույցի:</w:t>
      </w:r>
      <w:r w:rsidRPr="002E49F1">
        <w:rPr>
          <w:rFonts w:ascii="Sylfaen" w:eastAsia="Times New Roman" w:hAnsi="Sylfaen" w:cs="Arial"/>
          <w:sz w:val="24"/>
          <w:szCs w:val="24"/>
          <w:lang w:val="en-GB"/>
        </w:rPr>
        <w:t xml:space="preserve">  </w:t>
      </w:r>
    </w:p>
    <w:p w:rsidR="002E49F1" w:rsidRPr="002E49F1" w:rsidRDefault="002E49F1" w:rsidP="002E49F1">
      <w:pPr>
        <w:autoSpaceDE w:val="0"/>
        <w:autoSpaceDN w:val="0"/>
        <w:adjustRightInd w:val="0"/>
        <w:spacing w:after="0"/>
        <w:jc w:val="both"/>
        <w:rPr>
          <w:rFonts w:ascii="Sylfaen" w:eastAsia="Times New Roman" w:hAnsi="Sylfaen" w:cs="Arial"/>
          <w:sz w:val="24"/>
          <w:szCs w:val="24"/>
          <w:lang w:val="en-GB" w:eastAsia="en-GB"/>
        </w:rPr>
      </w:pPr>
    </w:p>
    <w:p w:rsidR="002E49F1" w:rsidRPr="002E49F1" w:rsidRDefault="002E49F1" w:rsidP="002E49F1">
      <w:pPr>
        <w:autoSpaceDE w:val="0"/>
        <w:autoSpaceDN w:val="0"/>
        <w:adjustRightInd w:val="0"/>
        <w:spacing w:after="0"/>
        <w:jc w:val="both"/>
        <w:rPr>
          <w:rFonts w:ascii="Sylfaen" w:eastAsia="Times New Roman" w:hAnsi="Sylfaen" w:cs="Arial"/>
          <w:b/>
          <w:sz w:val="24"/>
          <w:szCs w:val="24"/>
          <w:lang w:val="en-GB" w:eastAsia="en-GB"/>
        </w:rPr>
      </w:pPr>
      <w:r w:rsidRPr="002E49F1">
        <w:rPr>
          <w:rFonts w:ascii="Sylfaen" w:eastAsia="Times New Roman" w:hAnsi="Sylfaen" w:cs="Arial"/>
          <w:b/>
          <w:bCs/>
          <w:sz w:val="24"/>
          <w:szCs w:val="24"/>
          <w:lang w:val="en-GB" w:eastAsia="en-GB"/>
        </w:rPr>
        <w:t>14-րդ հոդվածով նախատեսված դրական պարտավորություններ</w:t>
      </w:r>
    </w:p>
    <w:p w:rsidR="002E49F1" w:rsidRPr="002E49F1" w:rsidRDefault="002E49F1" w:rsidP="002E49F1">
      <w:pPr>
        <w:suppressAutoHyphens/>
        <w:spacing w:after="0"/>
        <w:jc w:val="both"/>
        <w:rPr>
          <w:rFonts w:ascii="Sylfaen" w:eastAsia="Times New Roman" w:hAnsi="Sylfaen" w:cs="Arial"/>
          <w:b/>
          <w:sz w:val="24"/>
          <w:szCs w:val="24"/>
          <w:lang w:val="en-GB" w:eastAsia="fr-FR"/>
        </w:rPr>
      </w:pPr>
    </w:p>
    <w:p w:rsidR="002E49F1" w:rsidRPr="002E49F1" w:rsidRDefault="002E49F1" w:rsidP="002E49F1">
      <w:pPr>
        <w:spacing w:after="0"/>
        <w:jc w:val="both"/>
        <w:rPr>
          <w:rFonts w:ascii="Sylfaen" w:eastAsia="Times New Roman" w:hAnsi="Sylfaen" w:cs="Arial"/>
          <w:b/>
          <w:i/>
          <w:sz w:val="24"/>
          <w:szCs w:val="24"/>
          <w:lang w:val="en-GB" w:eastAsia="en-GB"/>
        </w:rPr>
      </w:pPr>
      <w:r w:rsidRPr="002E49F1">
        <w:rPr>
          <w:rFonts w:ascii="Sylfaen" w:eastAsia="Times New Roman" w:hAnsi="Sylfaen" w:cs="Arial"/>
          <w:b/>
          <w:i/>
          <w:sz w:val="24"/>
          <w:szCs w:val="24"/>
          <w:lang w:val="en-GB" w:eastAsia="en-GB"/>
        </w:rPr>
        <w:lastRenderedPageBreak/>
        <w:t xml:space="preserve">Հնարավոր ռասիստական դրդապատճառների հետաքննության ընթացակարգային պարտավորություն  </w:t>
      </w:r>
    </w:p>
    <w:p w:rsidR="005347CC" w:rsidRDefault="005347CC" w:rsidP="002E49F1">
      <w:pPr>
        <w:spacing w:after="0"/>
        <w:jc w:val="both"/>
        <w:rPr>
          <w:rFonts w:ascii="Sylfaen" w:eastAsia="Times New Roman" w:hAnsi="Sylfaen" w:cs="Arial"/>
          <w:i/>
          <w:sz w:val="24"/>
          <w:szCs w:val="24"/>
          <w:lang w:val="en-GB" w:eastAsia="en-GB"/>
        </w:rPr>
      </w:pPr>
    </w:p>
    <w:p w:rsidR="002E49F1" w:rsidRPr="002E49F1" w:rsidRDefault="002E49F1" w:rsidP="002E49F1">
      <w:pPr>
        <w:spacing w:after="0"/>
        <w:jc w:val="both"/>
        <w:rPr>
          <w:rFonts w:ascii="Sylfaen" w:eastAsia="Times New Roman" w:hAnsi="Sylfaen" w:cs="Times New Roman"/>
          <w:sz w:val="24"/>
          <w:szCs w:val="24"/>
          <w:lang w:val="en-GB" w:eastAsia="en-GB"/>
        </w:rPr>
      </w:pPr>
      <w:r w:rsidRPr="002E49F1">
        <w:rPr>
          <w:rFonts w:ascii="Sylfaen" w:eastAsia="Times New Roman" w:hAnsi="Sylfaen" w:cs="Arial"/>
          <w:i/>
          <w:sz w:val="24"/>
          <w:szCs w:val="24"/>
          <w:lang w:val="en-GB" w:eastAsia="en-GB"/>
        </w:rPr>
        <w:t>Նաչովա [</w:t>
      </w:r>
      <w:hyperlink r:id="rId29" w:history="1">
        <w:r w:rsidRPr="002E49F1">
          <w:rPr>
            <w:rFonts w:ascii="Sylfaen" w:eastAsia="Times New Roman" w:hAnsi="Sylfaen" w:cs="Arial"/>
            <w:i/>
            <w:color w:val="0000FF"/>
            <w:sz w:val="24"/>
            <w:szCs w:val="24"/>
            <w:u w:val="single"/>
            <w:lang w:val="en-GB" w:eastAsia="en-GB"/>
          </w:rPr>
          <w:t>Nachova</w:t>
        </w:r>
      </w:hyperlink>
      <w:r w:rsidRPr="002E49F1">
        <w:rPr>
          <w:rFonts w:ascii="Sylfaen" w:eastAsia="Times New Roman" w:hAnsi="Sylfaen" w:cs="Times New Roman"/>
          <w:sz w:val="24"/>
          <w:szCs w:val="24"/>
          <w:lang w:val="en-GB" w:eastAsia="en-GB"/>
        </w:rPr>
        <w:t>] գործում Մեծ պալատ հաստատեց բռնությունների հնարավոր ռասիստական դրդապատճառների հետաքննության մասնակից պետությունների ընթացակարգային պարտավորության վերլուծությունը:</w:t>
      </w:r>
    </w:p>
    <w:p w:rsidR="002E49F1" w:rsidRPr="002E49F1" w:rsidRDefault="002E49F1" w:rsidP="002E49F1">
      <w:pPr>
        <w:spacing w:after="0"/>
        <w:jc w:val="both"/>
        <w:rPr>
          <w:rFonts w:ascii="Sylfaen" w:eastAsia="Times New Roman" w:hAnsi="Sylfaen" w:cs="Arial"/>
          <w:sz w:val="24"/>
          <w:szCs w:val="24"/>
          <w:lang w:val="en-GB" w:eastAsia="en-GB"/>
        </w:rPr>
      </w:pPr>
      <w:r w:rsidRPr="002E49F1">
        <w:rPr>
          <w:rFonts w:ascii="Sylfaen" w:eastAsia="Times New Roman" w:hAnsi="Sylfaen" w:cs="Times New Roman"/>
          <w:sz w:val="24"/>
          <w:szCs w:val="24"/>
          <w:lang w:val="en-GB" w:eastAsia="en-GB"/>
        </w:rPr>
        <w:t xml:space="preserve"> </w:t>
      </w:r>
    </w:p>
    <w:p w:rsidR="002E49F1" w:rsidRPr="002E49F1" w:rsidRDefault="002E49F1" w:rsidP="002E49F1">
      <w:pPr>
        <w:spacing w:after="0"/>
        <w:jc w:val="both"/>
        <w:rPr>
          <w:rFonts w:ascii="Sylfaen" w:eastAsia="Times New Roman" w:hAnsi="Sylfaen" w:cs="Arial"/>
          <w:i/>
          <w:sz w:val="24"/>
          <w:szCs w:val="24"/>
          <w:lang w:val="en-GB" w:eastAsia="en-GB"/>
        </w:rPr>
      </w:pPr>
      <w:r w:rsidRPr="002E49F1">
        <w:rPr>
          <w:rFonts w:ascii="Sylfaen" w:eastAsia="Times New Roman" w:hAnsi="Sylfaen" w:cs="Arial"/>
          <w:i/>
          <w:sz w:val="24"/>
          <w:szCs w:val="24"/>
          <w:lang w:val="en-GB" w:eastAsia="en-GB"/>
        </w:rPr>
        <w:t>160 … Կոնվենցիայի 2-րդ հոդվածի ներքո պետություններն ունեն կյանքից զրկման դեպքերում արդյունավետ հետաքննության վարելու ընդհանուր պարտավորություն …  Այս պարտավորությունը պետք է կատարվի առանց խտրականության, ինչպես պահանջվում է Կոնվենցիայի 14-րդ հոդվածով … Այն դեպքում, երբ կասկածներ կան, որ ռասիստական վերաբերմունքն առաջացրել է բռնի գործողություններ, հատկապես կարևոր է, որ պաշտոնական հետաքննությունն իրականացվի խստապահանջությամբ և անկողմնակալությամբ` հաշվի առնելով, որ անհրաժեշտ է շարունակաբար  վերահաստատել հասարակության կողմից  ռասիզմի և էթնիկական ատելության դատապարտումը, ինչպես նաև պահպանել փոքրամասնությունների վստահությունն իրենց ռասիստական բռնությունների վտանգից պաշտպանելու պետության ունակության նկատմամբ: Կոնվենցիայի 2-րդ հոդվածի հետ պետության դրական պարտավորությունների համատեղելիությունը պահանջում է, որ ներպետական իրավական համակարգը ցույց տա քրեական իրավունք կիրառելու իր ունակությունն այն մարդկանց նկատմամբ, ովքեր ապօրինաբար  խլել են մեկ ուրիշի կյանքը` անկախ զոհի ռասայական կամ էթնիկական ծագումից ...</w:t>
      </w:r>
    </w:p>
    <w:p w:rsidR="002E49F1" w:rsidRPr="002E49F1" w:rsidRDefault="002E49F1" w:rsidP="002E49F1">
      <w:pPr>
        <w:spacing w:after="0"/>
        <w:jc w:val="both"/>
        <w:rPr>
          <w:rFonts w:ascii="Sylfaen" w:eastAsia="Times New Roman" w:hAnsi="Sylfaen" w:cs="Arial"/>
          <w:i/>
          <w:sz w:val="24"/>
          <w:szCs w:val="24"/>
          <w:lang w:val="en-GB" w:eastAsia="en-GB"/>
        </w:rPr>
      </w:pPr>
      <w:r w:rsidRPr="002E49F1">
        <w:rPr>
          <w:rFonts w:ascii="Sylfaen" w:eastAsia="Times New Roman" w:hAnsi="Sylfaen" w:cs="Arial"/>
          <w:i/>
          <w:sz w:val="24"/>
          <w:szCs w:val="24"/>
          <w:lang w:val="en-GB" w:eastAsia="en-GB"/>
        </w:rPr>
        <w:t xml:space="preserve">…Բռնության միջադեպերը հետաքննելիս և, մասնավորապես, պետական գործակալների ձեռքերում մահանալը, պետական իշխանություններն ունեն լրացուցիչ   պարտականություն ձեռնարկելու բոլոր ողջամիտ քայլերը ռասիստական դրդապատճառները բացահայտելու համար և պարզելու, թե արդյոք էթնիկական ատելությունը կամ նախապաշարումները կարող էին դերակատարում ունենալ այդ իրադարձությունների ժամանակ: Այս պարտականության չկատարումը և ռասայական դրդապատճառներով բռնությունների և դաժանությունների նկատմամբ առանց ռասայական հիմքի գործերի նման վերաբերմունքի ցուցաբերումը նշանակում է աչք փակել առանձնահատուկ բնույթի գործողությունների վրա, որոնք հատկապես կործանարար են հիմնարար իրավունքների համար:  Տարբեր իրադրությունների չտարբերակումը կարող է հանդիսանալ չհիմնավորված  վերաբերմունք` անահամատեղելի Կոնվենցիայի 14-րդ հոդվածի հետ (տե´ս, բոլոր փոփոխություններով, </w:t>
      </w:r>
      <w:hyperlink r:id="rId30" w:history="1">
        <w:r w:rsidRPr="002E49F1">
          <w:rPr>
            <w:rFonts w:ascii="Sylfaen" w:eastAsia="Times New Roman" w:hAnsi="Sylfaen" w:cs="Arial"/>
            <w:i/>
            <w:color w:val="0000FF"/>
            <w:sz w:val="24"/>
            <w:szCs w:val="24"/>
            <w:u w:val="single"/>
            <w:lang w:val="en-GB" w:eastAsia="en-GB"/>
          </w:rPr>
          <w:t>Thlimmenos v Greece</w:t>
        </w:r>
      </w:hyperlink>
      <w:r w:rsidRPr="002E49F1">
        <w:rPr>
          <w:rFonts w:ascii="Sylfaen" w:eastAsia="Times New Roman" w:hAnsi="Sylfaen" w:cs="Arial"/>
          <w:i/>
          <w:sz w:val="24"/>
          <w:szCs w:val="24"/>
          <w:lang w:val="en-GB" w:eastAsia="en-GB"/>
        </w:rPr>
        <w:t xml:space="preserve"> …). Իրավապահ կառույցների նկատմամբ </w:t>
      </w:r>
      <w:r w:rsidRPr="002E49F1">
        <w:rPr>
          <w:rFonts w:ascii="Sylfaen" w:eastAsia="Times New Roman" w:hAnsi="Sylfaen" w:cs="Arial"/>
          <w:i/>
          <w:sz w:val="24"/>
          <w:szCs w:val="24"/>
          <w:lang w:val="en-GB" w:eastAsia="en-GB"/>
        </w:rPr>
        <w:lastRenderedPageBreak/>
        <w:t xml:space="preserve">հանրային վստահությունը պահպանելու համար, մասնակից պետությունները պետք է ապահովեն, որ ուժի կիրառմամբ միջադեպերի հետաքննության ժամանակ տարբերակում կատարվի իրավական համակարգում և գործնականում ուժի չափազանց կիրառման և ռասայական սպանությունների միջև: </w:t>
      </w:r>
    </w:p>
    <w:p w:rsidR="002E49F1" w:rsidRPr="002E49F1" w:rsidRDefault="002E49F1" w:rsidP="002E49F1">
      <w:pPr>
        <w:spacing w:after="0"/>
        <w:jc w:val="both"/>
        <w:rPr>
          <w:rFonts w:ascii="Sylfaen" w:eastAsia="Times New Roman" w:hAnsi="Sylfaen" w:cs="Arial"/>
          <w:i/>
          <w:sz w:val="24"/>
          <w:szCs w:val="24"/>
          <w:lang w:val="en-GB" w:eastAsia="en-GB"/>
        </w:rPr>
      </w:pPr>
    </w:p>
    <w:p w:rsidR="002E49F1" w:rsidRPr="002E49F1" w:rsidRDefault="002E49F1" w:rsidP="002E49F1">
      <w:pPr>
        <w:spacing w:after="0"/>
        <w:jc w:val="both"/>
        <w:rPr>
          <w:rFonts w:ascii="Sylfaen" w:eastAsia="Times New Roman" w:hAnsi="Sylfaen" w:cs="Arial"/>
          <w:sz w:val="24"/>
          <w:szCs w:val="24"/>
          <w:lang w:val="en-GB" w:eastAsia="en-GB"/>
        </w:rPr>
      </w:pPr>
      <w:r w:rsidRPr="002E49F1">
        <w:rPr>
          <w:rFonts w:ascii="Sylfaen" w:eastAsia="Times New Roman" w:hAnsi="Sylfaen" w:cs="Arial"/>
          <w:i/>
          <w:sz w:val="24"/>
          <w:szCs w:val="24"/>
          <w:lang w:val="en-GB" w:eastAsia="en-GB"/>
        </w:rPr>
        <w:t xml:space="preserve">Ճիշտ է, ռասայական դրդապատճառների ապացուցումը կարող է գործնականում չափազանց բարդ լինել: Պատասխանող պետության բռնի գործողությունների հնարավոր ռասիստական ենթատեքստերի հետաքննության պարտականությունը լավագույն ձեռնարկումների օգտագործման պարտականություն է և ոչ բացարձակ… Պետությունները պետք է կատարեն այն, ինչ ողջամիտ է տվյալ հանգամանքներում` հավաքել և հաստատել անհրաժեշտ ապացույցները, ուսումնասիրել բոլոր գործնական միջոցները ճշմարտությունը բացահայտելու համար, կայացնել հիմնավորված, անկողմնակալ և օբյեկտիվ որոշումներ` առանց բաց թողնելու կասկածելի փաստերը, որոնք կարող են վկայել ռասայական հիմքով բռնությունների մասին:   </w:t>
      </w:r>
      <w:r w:rsidRPr="002E49F1">
        <w:rPr>
          <w:rFonts w:ascii="Sylfaen" w:eastAsia="Times New Roman" w:hAnsi="Sylfaen" w:cs="Arial"/>
          <w:sz w:val="24"/>
          <w:szCs w:val="24"/>
          <w:lang w:val="en-GB" w:eastAsia="en-GB"/>
        </w:rPr>
        <w:t xml:space="preserve">  </w:t>
      </w:r>
    </w:p>
    <w:p w:rsidR="002E49F1" w:rsidRPr="002E49F1" w:rsidRDefault="002E49F1" w:rsidP="002E49F1">
      <w:pPr>
        <w:spacing w:after="0"/>
        <w:jc w:val="both"/>
        <w:rPr>
          <w:rFonts w:ascii="Sylfaen" w:eastAsia="Times New Roman" w:hAnsi="Sylfaen" w:cs="Arial"/>
          <w:sz w:val="24"/>
          <w:szCs w:val="24"/>
          <w:lang w:val="en-GB" w:eastAsia="en-GB"/>
        </w:rPr>
      </w:pPr>
    </w:p>
    <w:p w:rsidR="002E49F1" w:rsidRPr="002E49F1" w:rsidRDefault="002E49F1" w:rsidP="002E49F1">
      <w:pPr>
        <w:spacing w:after="0"/>
        <w:jc w:val="both"/>
        <w:rPr>
          <w:rFonts w:ascii="Sylfaen" w:eastAsia="Times New Roman" w:hAnsi="Sylfaen" w:cs="Arial"/>
          <w:sz w:val="24"/>
          <w:szCs w:val="24"/>
          <w:lang w:val="en-GB" w:eastAsia="en-GB"/>
        </w:rPr>
      </w:pPr>
      <w:r w:rsidRPr="002E49F1">
        <w:rPr>
          <w:rFonts w:ascii="Sylfaen" w:eastAsia="Times New Roman" w:hAnsi="Sylfaen" w:cs="Arial"/>
          <w:sz w:val="24"/>
          <w:szCs w:val="24"/>
          <w:lang w:val="en-GB" w:eastAsia="en-GB"/>
        </w:rPr>
        <w:t xml:space="preserve">Մեծ պալատն ավելացրեց, որ </w:t>
      </w:r>
    </w:p>
    <w:p w:rsidR="002E49F1" w:rsidRPr="002E49F1" w:rsidRDefault="002E49F1" w:rsidP="002E49F1">
      <w:pPr>
        <w:spacing w:after="0"/>
        <w:jc w:val="both"/>
        <w:rPr>
          <w:rFonts w:ascii="Sylfaen" w:eastAsia="Times New Roman" w:hAnsi="Sylfaen" w:cs="Arial"/>
          <w:i/>
          <w:sz w:val="24"/>
          <w:szCs w:val="24"/>
          <w:lang w:val="en-GB" w:eastAsia="en-GB"/>
        </w:rPr>
      </w:pPr>
      <w:r w:rsidRPr="002E49F1">
        <w:rPr>
          <w:rFonts w:ascii="Sylfaen" w:eastAsia="Times New Roman" w:hAnsi="Sylfaen" w:cs="Arial"/>
          <w:i/>
          <w:sz w:val="24"/>
          <w:szCs w:val="24"/>
          <w:lang w:val="en-GB" w:eastAsia="en-GB"/>
        </w:rPr>
        <w:t xml:space="preserve">… </w:t>
      </w:r>
      <w:proofErr w:type="gramStart"/>
      <w:r w:rsidRPr="002E49F1">
        <w:rPr>
          <w:rFonts w:ascii="Sylfaen" w:eastAsia="Times New Roman" w:hAnsi="Sylfaen" w:cs="Arial"/>
          <w:i/>
          <w:sz w:val="24"/>
          <w:szCs w:val="24"/>
          <w:lang w:val="en-GB" w:eastAsia="en-GB"/>
        </w:rPr>
        <w:t>իշխանությունների</w:t>
      </w:r>
      <w:proofErr w:type="gramEnd"/>
      <w:r w:rsidRPr="002E49F1">
        <w:rPr>
          <w:rFonts w:ascii="Sylfaen" w:eastAsia="Times New Roman" w:hAnsi="Sylfaen" w:cs="Arial"/>
          <w:i/>
          <w:sz w:val="24"/>
          <w:szCs w:val="24"/>
          <w:lang w:val="en-GB" w:eastAsia="en-GB"/>
        </w:rPr>
        <w:t xml:space="preserve"> ռասիստական վերաբերմունքի և բռնի գործողությունների միջև հնարավոր կապի առկայության հետաքննման պարտականությունը Կոնվենցիայի 2-րդ հոդվածից բխող ընթացակարգային պարտավորությունների ասպեկտներից մեկն է, սակայն կարող է նաև  դիտվել Կոնվենցիայի  2-րդ հոդվածի համակցությամբ 14-րդ հոդվածի ներքո  կյանքի իրավունքից օգտվելու իրավունքն առանց խտրականության ապահովելու ենթադրյալ պատասխանատվություններում: </w:t>
      </w:r>
    </w:p>
    <w:p w:rsidR="002E49F1" w:rsidRPr="002E49F1" w:rsidRDefault="002E49F1" w:rsidP="002E49F1">
      <w:pPr>
        <w:spacing w:after="0"/>
        <w:jc w:val="both"/>
        <w:rPr>
          <w:rFonts w:ascii="Sylfaen" w:eastAsia="Times New Roman" w:hAnsi="Sylfaen" w:cs="Arial"/>
          <w:i/>
          <w:sz w:val="24"/>
          <w:szCs w:val="24"/>
          <w:lang w:val="en-GB" w:eastAsia="en-GB"/>
        </w:rPr>
      </w:pPr>
    </w:p>
    <w:p w:rsidR="002E49F1" w:rsidRPr="002E49F1" w:rsidRDefault="002E49F1" w:rsidP="002E49F1">
      <w:pPr>
        <w:spacing w:after="0"/>
        <w:jc w:val="both"/>
        <w:rPr>
          <w:rFonts w:ascii="Sylfaen" w:eastAsia="Cambria" w:hAnsi="Sylfaen" w:cs="Arial"/>
          <w:sz w:val="24"/>
          <w:szCs w:val="24"/>
          <w:lang w:val="en-GB"/>
        </w:rPr>
      </w:pPr>
      <w:r w:rsidRPr="002E49F1">
        <w:rPr>
          <w:rFonts w:ascii="Sylfaen" w:eastAsia="Cambria" w:hAnsi="Sylfaen" w:cs="Arial"/>
          <w:sz w:val="24"/>
          <w:szCs w:val="24"/>
        </w:rPr>
        <w:t xml:space="preserve">Այս  սկզբունքներն ընդունելով` Մեծ պալատը գտավ, որ պետությունը չի կատարել 2-րդ հոդվածի համակցությամբ 14-րդ հոդվածով սահմանված իր պարտականությունները`չկատարելով բոլոր հնարավոր  քայլերը հետաքննելու համար, թե արդյոք խտրականությունը դերակատարում է ունեցել այդ իրադարձությունների ժամանակ, որոնք զինվորական ոստիկանության սպայի կողմից կրակելու արդյունքում հանգեցրել են երկու գնչու տղամարդկանց սպանության: (տե´ս, նաև  </w:t>
      </w:r>
      <w:hyperlink r:id="rId31" w:history="1">
        <w:r w:rsidRPr="002E49F1">
          <w:rPr>
            <w:rFonts w:ascii="Sylfaen" w:eastAsia="Cambria" w:hAnsi="Sylfaen" w:cs="Arial"/>
            <w:i/>
            <w:color w:val="0000FF"/>
            <w:sz w:val="24"/>
            <w:szCs w:val="24"/>
            <w:u w:val="single"/>
            <w:lang w:val="en-GB"/>
          </w:rPr>
          <w:t>Stoica v. Romania</w:t>
        </w:r>
      </w:hyperlink>
      <w:r w:rsidRPr="002E49F1">
        <w:rPr>
          <w:rFonts w:ascii="Sylfaen" w:eastAsia="Cambria" w:hAnsi="Sylfaen" w:cs="Arial"/>
          <w:i/>
          <w:sz w:val="24"/>
          <w:szCs w:val="24"/>
          <w:lang w:val="en-GB"/>
        </w:rPr>
        <w:t xml:space="preserve">, </w:t>
      </w:r>
      <w:r w:rsidRPr="002E49F1">
        <w:rPr>
          <w:rFonts w:ascii="Sylfaen" w:eastAsia="Cambria" w:hAnsi="Sylfaen" w:cs="Arial"/>
          <w:sz w:val="24"/>
          <w:szCs w:val="24"/>
          <w:lang w:val="en-GB"/>
        </w:rPr>
        <w:t xml:space="preserve">(Դիմում թիվ. 42722/02, 4 March 2008թ. մարտի 4-ի վճիռ) Այս գործի կապակցությամբ Դատարանը ոչ միայն գտավ, որ պետությունը կատարել է 3-րդ հոդվածի էական և ընթացակարգային խախտում, այլ նաև,  ընդունելով </w:t>
      </w:r>
      <w:r w:rsidRPr="002E49F1">
        <w:rPr>
          <w:rFonts w:ascii="Sylfaen" w:eastAsia="Cambria" w:hAnsi="Sylfaen" w:cs="Arial"/>
          <w:i/>
          <w:sz w:val="24"/>
          <w:szCs w:val="24"/>
          <w:lang w:val="en-GB"/>
        </w:rPr>
        <w:t xml:space="preserve"> Նաչովա </w:t>
      </w:r>
      <w:r w:rsidRPr="002E49F1">
        <w:rPr>
          <w:rFonts w:ascii="Sylfaen" w:eastAsia="Cambria" w:hAnsi="Sylfaen" w:cs="Arial"/>
          <w:sz w:val="24"/>
          <w:szCs w:val="24"/>
          <w:lang w:val="en-GB"/>
        </w:rPr>
        <w:t xml:space="preserve"> գործով Մեծ պալատի կողմից ձևակերպված սկզբունքները, համարեց, որ տեղի է ունեցել 14-րդ հոդվածի խախտում):</w:t>
      </w:r>
    </w:p>
    <w:p w:rsidR="002E49F1" w:rsidRPr="002E49F1" w:rsidRDefault="002E49F1" w:rsidP="002E49F1">
      <w:pPr>
        <w:spacing w:after="0"/>
        <w:jc w:val="both"/>
        <w:rPr>
          <w:rFonts w:ascii="Sylfaen" w:eastAsia="Times New Roman" w:hAnsi="Sylfaen" w:cs="Arial"/>
          <w:b/>
          <w:i/>
          <w:sz w:val="24"/>
          <w:szCs w:val="24"/>
          <w:lang w:val="en-GB" w:eastAsia="en-GB"/>
        </w:rPr>
      </w:pPr>
    </w:p>
    <w:p w:rsidR="002E49F1" w:rsidRPr="002E49F1" w:rsidRDefault="002E49F1" w:rsidP="002E49F1">
      <w:pPr>
        <w:spacing w:after="0"/>
        <w:jc w:val="both"/>
        <w:rPr>
          <w:rFonts w:ascii="Sylfaen" w:eastAsia="Times New Roman" w:hAnsi="Sylfaen" w:cs="Arial"/>
          <w:b/>
          <w:i/>
          <w:sz w:val="24"/>
          <w:szCs w:val="24"/>
          <w:lang w:val="en-GB" w:eastAsia="en-GB"/>
        </w:rPr>
      </w:pPr>
      <w:r w:rsidRPr="002E49F1">
        <w:rPr>
          <w:rFonts w:ascii="Sylfaen" w:eastAsia="Times New Roman" w:hAnsi="Sylfaen" w:cs="Arial"/>
          <w:b/>
          <w:i/>
          <w:sz w:val="24"/>
          <w:szCs w:val="24"/>
          <w:lang w:val="en-GB" w:eastAsia="en-GB"/>
        </w:rPr>
        <w:t xml:space="preserve">Կոնվենցիայի 14-րդ հոդվածով նախատեսված այլ պարտավորություններ </w:t>
      </w:r>
    </w:p>
    <w:p w:rsidR="002E49F1" w:rsidRPr="002E49F1" w:rsidRDefault="002E49F1" w:rsidP="002E49F1">
      <w:pPr>
        <w:spacing w:after="0"/>
        <w:jc w:val="both"/>
        <w:rPr>
          <w:rFonts w:ascii="Sylfaen" w:eastAsia="Times New Roman" w:hAnsi="Sylfaen" w:cs="Arial"/>
          <w:b/>
          <w:i/>
          <w:sz w:val="24"/>
          <w:szCs w:val="24"/>
          <w:lang w:val="en-GB" w:eastAsia="en-GB"/>
        </w:rPr>
      </w:pPr>
    </w:p>
    <w:p w:rsidR="002E49F1" w:rsidRPr="002E49F1" w:rsidRDefault="002E49F1" w:rsidP="002E49F1">
      <w:pPr>
        <w:spacing w:after="0"/>
        <w:jc w:val="both"/>
        <w:rPr>
          <w:rFonts w:ascii="Sylfaen" w:eastAsia="Times New Roman" w:hAnsi="Sylfaen" w:cs="Arial"/>
          <w:sz w:val="24"/>
          <w:szCs w:val="24"/>
          <w:lang w:val="en-GB" w:eastAsia="en-GB"/>
        </w:rPr>
      </w:pPr>
      <w:r w:rsidRPr="002E49F1">
        <w:rPr>
          <w:rFonts w:ascii="Sylfaen" w:eastAsia="Times New Roman" w:hAnsi="Sylfaen" w:cs="Arial"/>
          <w:sz w:val="24"/>
          <w:szCs w:val="24"/>
          <w:lang w:val="en-GB" w:eastAsia="en-GB"/>
        </w:rPr>
        <w:t>Բացի այդ, 14-րդ հոդվածը, ի թիվս այլոց, անդամ պետությունների համար նախատեսում է դրական պարտավորություններ`</w:t>
      </w:r>
    </w:p>
    <w:p w:rsidR="002E49F1" w:rsidRPr="002E49F1" w:rsidRDefault="002E49F1" w:rsidP="002E49F1">
      <w:pPr>
        <w:numPr>
          <w:ilvl w:val="0"/>
          <w:numId w:val="4"/>
        </w:numPr>
        <w:spacing w:after="0"/>
        <w:jc w:val="both"/>
        <w:rPr>
          <w:rFonts w:ascii="Sylfaen" w:eastAsia="Times New Roman" w:hAnsi="Sylfaen" w:cs="Arial"/>
          <w:sz w:val="24"/>
          <w:szCs w:val="24"/>
          <w:lang w:val="en-GB" w:eastAsia="en-GB"/>
        </w:rPr>
      </w:pPr>
      <w:r w:rsidRPr="002E49F1">
        <w:rPr>
          <w:rFonts w:ascii="Sylfaen" w:eastAsia="Times New Roman" w:hAnsi="Sylfaen" w:cs="Arial"/>
          <w:sz w:val="24"/>
          <w:szCs w:val="24"/>
          <w:lang w:val="en-GB" w:eastAsia="en-GB"/>
        </w:rPr>
        <w:t xml:space="preserve">Պաշտպանել կանանց ընտանեկան բռնություններից (տե´ս,  </w:t>
      </w:r>
      <w:hyperlink r:id="rId32" w:history="1">
        <w:r w:rsidRPr="002E49F1">
          <w:rPr>
            <w:rFonts w:ascii="Sylfaen" w:eastAsia="Times New Roman" w:hAnsi="Sylfaen" w:cs="Arial"/>
            <w:i/>
            <w:color w:val="0000FF"/>
            <w:sz w:val="24"/>
            <w:szCs w:val="24"/>
            <w:u w:val="single"/>
            <w:lang w:val="en-GB" w:eastAsia="en-GB"/>
          </w:rPr>
          <w:t>Opuz v. Turkey</w:t>
        </w:r>
      </w:hyperlink>
      <w:r w:rsidRPr="002E49F1">
        <w:rPr>
          <w:rFonts w:ascii="Sylfaen" w:eastAsia="Times New Roman" w:hAnsi="Sylfaen" w:cs="Arial"/>
          <w:i/>
          <w:sz w:val="24"/>
          <w:szCs w:val="24"/>
          <w:lang w:val="en-GB" w:eastAsia="en-GB"/>
        </w:rPr>
        <w:t xml:space="preserve"> </w:t>
      </w:r>
      <w:r w:rsidRPr="002E49F1">
        <w:rPr>
          <w:rFonts w:ascii="Sylfaen" w:eastAsia="Times New Roman" w:hAnsi="Sylfaen" w:cs="Arial"/>
          <w:sz w:val="24"/>
          <w:szCs w:val="24"/>
          <w:lang w:val="en-GB" w:eastAsia="en-GB"/>
        </w:rPr>
        <w:t>(2009) 2009թ. հունիսի 9-ի վճիռ,</w:t>
      </w:r>
    </w:p>
    <w:p w:rsidR="002E49F1" w:rsidRPr="002E49F1" w:rsidRDefault="002E49F1" w:rsidP="002E49F1">
      <w:pPr>
        <w:numPr>
          <w:ilvl w:val="0"/>
          <w:numId w:val="4"/>
        </w:numPr>
        <w:spacing w:after="0"/>
        <w:jc w:val="both"/>
        <w:rPr>
          <w:rFonts w:ascii="Sylfaen" w:eastAsia="Times New Roman" w:hAnsi="Sylfaen" w:cs="Arial"/>
          <w:sz w:val="24"/>
          <w:szCs w:val="24"/>
          <w:lang w:val="en-GB" w:eastAsia="en-GB"/>
        </w:rPr>
      </w:pPr>
      <w:r w:rsidRPr="002E49F1">
        <w:rPr>
          <w:rFonts w:ascii="Sylfaen" w:eastAsia="Times New Roman" w:hAnsi="Sylfaen" w:cs="Arial"/>
          <w:sz w:val="24"/>
          <w:szCs w:val="24"/>
          <w:lang w:val="en-GB" w:eastAsia="en-GB"/>
        </w:rPr>
        <w:t xml:space="preserve">Ձեռնարկել անհրաժեշտ միջոցները կրոնական կազմակերպություններին անդամակցելու հիմքով խտրական բռնությունները կանխելու և պատժելու համար (տե´ս,  </w:t>
      </w:r>
      <w:hyperlink r:id="rId33" w:history="1">
        <w:r w:rsidRPr="002E49F1">
          <w:rPr>
            <w:rFonts w:ascii="Sylfaen" w:eastAsia="Times New Roman" w:hAnsi="Sylfaen" w:cs="Arial"/>
            <w:i/>
            <w:color w:val="0000FF"/>
            <w:sz w:val="24"/>
            <w:szCs w:val="24"/>
            <w:u w:val="single"/>
            <w:lang w:val="en-GB" w:eastAsia="en-GB"/>
          </w:rPr>
          <w:t>97 members of the Gldani Congregation of Jehovah’s Witnesses and 4 others v. Georgia</w:t>
        </w:r>
      </w:hyperlink>
      <w:r w:rsidRPr="002E49F1">
        <w:rPr>
          <w:rFonts w:ascii="Sylfaen" w:eastAsia="Times New Roman" w:hAnsi="Sylfaen" w:cs="Arial"/>
          <w:i/>
          <w:sz w:val="24"/>
          <w:szCs w:val="24"/>
          <w:lang w:val="en-GB" w:eastAsia="en-GB"/>
        </w:rPr>
        <w:t xml:space="preserve"> </w:t>
      </w:r>
      <w:r w:rsidRPr="002E49F1">
        <w:rPr>
          <w:rFonts w:ascii="Sylfaen" w:eastAsia="Times New Roman" w:hAnsi="Sylfaen" w:cs="Arial"/>
          <w:sz w:val="24"/>
          <w:szCs w:val="24"/>
          <w:lang w:val="en-GB" w:eastAsia="en-GB"/>
        </w:rPr>
        <w:t xml:space="preserve">(2007) 2007թ. մայիսի 3), </w:t>
      </w:r>
    </w:p>
    <w:p w:rsidR="002E49F1" w:rsidRPr="002E49F1" w:rsidRDefault="002E49F1" w:rsidP="002E49F1">
      <w:pPr>
        <w:numPr>
          <w:ilvl w:val="0"/>
          <w:numId w:val="4"/>
        </w:numPr>
        <w:spacing w:after="0"/>
        <w:jc w:val="both"/>
        <w:rPr>
          <w:rFonts w:ascii="Sylfaen" w:eastAsia="Times New Roman" w:hAnsi="Sylfaen" w:cs="Arial"/>
          <w:sz w:val="24"/>
          <w:szCs w:val="24"/>
          <w:lang w:val="en-GB" w:eastAsia="en-GB"/>
        </w:rPr>
      </w:pPr>
      <w:r w:rsidRPr="002E49F1">
        <w:rPr>
          <w:rFonts w:ascii="Sylfaen" w:eastAsia="Times New Roman" w:hAnsi="Sylfaen" w:cs="Arial"/>
          <w:sz w:val="24"/>
          <w:szCs w:val="24"/>
          <w:lang w:val="en-GB" w:eastAsia="en-GB"/>
        </w:rPr>
        <w:t xml:space="preserve">Ապահովել արդյունավետ դատական պաշտպանություն արհմիությանն անդամակցելու հիմքով խտրականության դեմ (տե´ս,  </w:t>
      </w:r>
      <w:hyperlink r:id="rId34" w:history="1">
        <w:r w:rsidRPr="002E49F1">
          <w:rPr>
            <w:rFonts w:ascii="Sylfaen" w:eastAsia="Times New Roman" w:hAnsi="Sylfaen" w:cs="Arial"/>
            <w:i/>
            <w:color w:val="0000FF"/>
            <w:sz w:val="24"/>
            <w:szCs w:val="24"/>
            <w:u w:val="single"/>
            <w:lang w:val="en-GB" w:eastAsia="en-GB"/>
          </w:rPr>
          <w:t>Danilenkov v. Russia</w:t>
        </w:r>
      </w:hyperlink>
      <w:r w:rsidRPr="002E49F1">
        <w:rPr>
          <w:rFonts w:ascii="Sylfaen" w:eastAsia="Times New Roman" w:hAnsi="Sylfaen" w:cs="Arial"/>
          <w:i/>
          <w:sz w:val="24"/>
          <w:szCs w:val="24"/>
          <w:lang w:val="en-GB" w:eastAsia="en-GB"/>
        </w:rPr>
        <w:t xml:space="preserve"> </w:t>
      </w:r>
      <w:r w:rsidRPr="002E49F1">
        <w:rPr>
          <w:rFonts w:ascii="Sylfaen" w:eastAsia="Times New Roman" w:hAnsi="Sylfaen" w:cs="Arial"/>
          <w:sz w:val="24"/>
          <w:szCs w:val="24"/>
          <w:lang w:val="en-GB" w:eastAsia="en-GB"/>
        </w:rPr>
        <w:t>(2009) 2009թ. հուլիսի 30-ի):</w:t>
      </w:r>
    </w:p>
    <w:p w:rsidR="002E49F1" w:rsidRPr="002E49F1" w:rsidRDefault="002E49F1" w:rsidP="002E49F1">
      <w:pPr>
        <w:spacing w:after="0"/>
        <w:jc w:val="both"/>
        <w:rPr>
          <w:rFonts w:ascii="Sylfaen" w:eastAsia="Times New Roman" w:hAnsi="Sylfaen" w:cs="Arial"/>
          <w:sz w:val="24"/>
          <w:szCs w:val="24"/>
          <w:lang w:val="en-GB" w:eastAsia="en-GB"/>
        </w:rPr>
      </w:pPr>
    </w:p>
    <w:p w:rsidR="002E49F1" w:rsidRPr="002E49F1" w:rsidRDefault="002E49F1" w:rsidP="002E49F1">
      <w:pPr>
        <w:spacing w:after="0"/>
        <w:jc w:val="both"/>
        <w:rPr>
          <w:rFonts w:ascii="Sylfaen" w:eastAsia="Times New Roman" w:hAnsi="Sylfaen" w:cs="Arial"/>
          <w:b/>
          <w:sz w:val="24"/>
          <w:szCs w:val="24"/>
          <w:lang w:val="en-GB" w:eastAsia="en-GB"/>
        </w:rPr>
      </w:pPr>
      <w:r w:rsidRPr="002E49F1">
        <w:rPr>
          <w:rFonts w:ascii="Sylfaen" w:eastAsia="Times New Roman" w:hAnsi="Sylfaen" w:cs="Arial"/>
          <w:b/>
          <w:sz w:val="24"/>
          <w:szCs w:val="24"/>
          <w:lang w:val="en-GB" w:eastAsia="en-GB"/>
        </w:rPr>
        <w:t xml:space="preserve">Ատելության հիմքով հանցագործություններ և ատելության քարոզում </w:t>
      </w:r>
    </w:p>
    <w:p w:rsidR="002E49F1" w:rsidRPr="002E49F1" w:rsidRDefault="002E49F1" w:rsidP="002E49F1">
      <w:pPr>
        <w:spacing w:after="0"/>
        <w:jc w:val="both"/>
        <w:rPr>
          <w:rFonts w:ascii="Sylfaen" w:eastAsia="Times New Roman" w:hAnsi="Sylfaen" w:cs="Arial"/>
          <w:b/>
          <w:sz w:val="24"/>
          <w:szCs w:val="24"/>
          <w:lang w:val="en-GB" w:eastAsia="en-GB"/>
        </w:rPr>
      </w:pPr>
    </w:p>
    <w:p w:rsidR="002E49F1" w:rsidRPr="002E49F1" w:rsidRDefault="002E49F1" w:rsidP="002E49F1">
      <w:pPr>
        <w:spacing w:after="0"/>
        <w:rPr>
          <w:rFonts w:ascii="Sylfaen" w:eastAsia="Times New Roman" w:hAnsi="Sylfaen" w:cs="Arial"/>
          <w:b/>
          <w:sz w:val="24"/>
          <w:szCs w:val="24"/>
          <w:lang w:eastAsia="en-GB"/>
        </w:rPr>
      </w:pPr>
      <w:r w:rsidRPr="002E49F1">
        <w:rPr>
          <w:rFonts w:ascii="Sylfaen" w:eastAsia="Times New Roman" w:hAnsi="Sylfaen" w:cs="Arial"/>
          <w:b/>
          <w:sz w:val="24"/>
          <w:szCs w:val="24"/>
          <w:lang w:eastAsia="en-GB"/>
        </w:rPr>
        <w:t>Ատելության քարոզում</w:t>
      </w:r>
    </w:p>
    <w:p w:rsidR="002E49F1" w:rsidRDefault="002E49F1" w:rsidP="002E49F1">
      <w:pPr>
        <w:autoSpaceDE w:val="0"/>
        <w:autoSpaceDN w:val="0"/>
        <w:adjustRightInd w:val="0"/>
        <w:spacing w:after="0"/>
        <w:jc w:val="both"/>
        <w:rPr>
          <w:rFonts w:ascii="Sylfaen" w:eastAsia="Times New Roman" w:hAnsi="Sylfaen" w:cs="Arial"/>
          <w:sz w:val="24"/>
          <w:szCs w:val="24"/>
          <w:lang w:eastAsia="en-GB"/>
        </w:rPr>
      </w:pPr>
    </w:p>
    <w:p w:rsidR="002E49F1" w:rsidRPr="002E49F1" w:rsidRDefault="002E49F1" w:rsidP="002E49F1">
      <w:pPr>
        <w:autoSpaceDE w:val="0"/>
        <w:autoSpaceDN w:val="0"/>
        <w:adjustRightInd w:val="0"/>
        <w:spacing w:after="0"/>
        <w:jc w:val="both"/>
        <w:rPr>
          <w:rFonts w:ascii="Sylfaen" w:eastAsia="Times New Roman" w:hAnsi="Sylfaen" w:cs="Arial"/>
          <w:sz w:val="24"/>
          <w:szCs w:val="24"/>
          <w:lang w:eastAsia="en-GB"/>
        </w:rPr>
      </w:pPr>
      <w:r w:rsidRPr="002E49F1">
        <w:rPr>
          <w:rFonts w:ascii="Sylfaen" w:eastAsia="Times New Roman" w:hAnsi="Sylfaen" w:cs="Arial"/>
          <w:sz w:val="24"/>
          <w:szCs w:val="24"/>
          <w:lang w:eastAsia="en-GB"/>
        </w:rPr>
        <w:t xml:space="preserve">Կարևոր է իմանալ, որ Եվրոպայի խորհրդի անդամ պետությունների միջև գոյություն չունի համընդհանուր կերպով ընդունված սահմանում ատելության քարոզում արտահայտության համար: Այնուամենայնիվ Եվրոպայի խորհրդի նախարարների կոմիտեի </w:t>
      </w:r>
      <w:hyperlink r:id="rId35" w:history="1">
        <w:r w:rsidRPr="002E49F1">
          <w:rPr>
            <w:rFonts w:ascii="Sylfaen" w:eastAsia="Times New Roman" w:hAnsi="Sylfaen" w:cs="Arial"/>
            <w:color w:val="0000FF"/>
            <w:sz w:val="24"/>
            <w:szCs w:val="24"/>
            <w:u w:val="single"/>
            <w:lang w:eastAsia="en-GB"/>
          </w:rPr>
          <w:t>թիվ 97(20) հանձնարարականը</w:t>
        </w:r>
      </w:hyperlink>
      <w:r w:rsidRPr="002E49F1">
        <w:rPr>
          <w:rFonts w:ascii="Sylfaen" w:eastAsia="Times New Roman" w:hAnsi="Sylfaen" w:cs="Arial"/>
          <w:sz w:val="24"/>
          <w:szCs w:val="24"/>
          <w:lang w:eastAsia="en-GB"/>
        </w:rPr>
        <w:t xml:space="preserve"> «ատելության քարոզումը» սահմանում է հետևյալ կերպ` </w:t>
      </w:r>
    </w:p>
    <w:p w:rsidR="002E49F1" w:rsidRPr="002E49F1" w:rsidRDefault="002E49F1" w:rsidP="002E49F1">
      <w:pPr>
        <w:spacing w:after="0"/>
        <w:jc w:val="both"/>
        <w:rPr>
          <w:rFonts w:ascii="Sylfaen" w:eastAsia="Times New Roman" w:hAnsi="Sylfaen" w:cs="Arial"/>
          <w:i/>
          <w:sz w:val="24"/>
          <w:szCs w:val="24"/>
          <w:lang w:eastAsia="ru-RU"/>
        </w:rPr>
      </w:pPr>
      <w:r w:rsidRPr="002E49F1">
        <w:rPr>
          <w:rFonts w:ascii="Sylfaen" w:eastAsia="Times New Roman" w:hAnsi="Sylfaen" w:cs="Arial"/>
          <w:i/>
          <w:sz w:val="24"/>
          <w:szCs w:val="24"/>
          <w:lang w:eastAsia="ru-RU"/>
        </w:rPr>
        <w:t xml:space="preserve"> « </w:t>
      </w:r>
      <w:r w:rsidRPr="002E49F1">
        <w:rPr>
          <w:rFonts w:ascii="Sylfaen" w:eastAsia="Times New Roman" w:hAnsi="Sylfaen" w:cs="Calibri"/>
          <w:i/>
          <w:sz w:val="24"/>
          <w:szCs w:val="24"/>
          <w:lang w:eastAsia="ru-RU"/>
        </w:rPr>
        <w:t>«Ատելության քարոզում» եզրույթը պետք է հասկանալ, որպես արտահայտման բոլոր ձևերն ընդգրկող երևույթ, որը տարածում է, հրահրում է, խրախուսում կամ արդարացնում է ռասայական ատելությունը, այլատյացությունը, անտիսեմիտիզմը և ատելության այլ ձևերը, որոնք հիմնված են անհանդուրժողականության վրա, այդ թվում` ագրեսիվ ազգայնականությամբ և ազգակենտրոնությամբ արտահայտված անհանդուրժողականությունը, փոքրամասնությունների, ներգաղթյալների և գաղթական ծագման անձանց նկատմամբ խտրականությունը և թշնամանքը»:</w:t>
      </w:r>
    </w:p>
    <w:p w:rsidR="002E49F1" w:rsidRPr="002E49F1" w:rsidRDefault="002E49F1" w:rsidP="002E49F1">
      <w:pPr>
        <w:spacing w:after="0"/>
        <w:jc w:val="both"/>
        <w:rPr>
          <w:rFonts w:ascii="Sylfaen" w:eastAsia="Times New Roman" w:hAnsi="Sylfaen" w:cs="Calibri"/>
          <w:sz w:val="24"/>
          <w:szCs w:val="24"/>
          <w:lang w:eastAsia="ru-RU"/>
        </w:rPr>
      </w:pPr>
      <w:r w:rsidRPr="002E49F1">
        <w:rPr>
          <w:rFonts w:ascii="Sylfaen" w:eastAsia="Times New Roman" w:hAnsi="Sylfaen" w:cs="Calibri"/>
          <w:sz w:val="24"/>
          <w:szCs w:val="24"/>
          <w:lang w:eastAsia="ru-RU"/>
        </w:rPr>
        <w:t xml:space="preserve">Այս առումով, ատելության քարոզումը ներառում է այն դիտողությունները, որոնք ուղղակիորեն ուղղված են անձի կամ անձանց որոշակի խմբի: </w:t>
      </w:r>
    </w:p>
    <w:p w:rsidR="002E49F1" w:rsidRPr="002E49F1" w:rsidRDefault="002E49F1" w:rsidP="002E49F1">
      <w:pPr>
        <w:spacing w:after="0"/>
        <w:rPr>
          <w:rFonts w:ascii="Sylfaen" w:eastAsia="Times New Roman" w:hAnsi="Sylfaen" w:cs="Arial"/>
          <w:sz w:val="24"/>
          <w:szCs w:val="24"/>
          <w:lang w:eastAsia="ru-RU"/>
        </w:rPr>
      </w:pPr>
    </w:p>
    <w:p w:rsidR="002E49F1" w:rsidRPr="002E49F1" w:rsidRDefault="002E49F1" w:rsidP="002E49F1">
      <w:pPr>
        <w:spacing w:after="0"/>
        <w:jc w:val="both"/>
        <w:rPr>
          <w:rFonts w:ascii="Sylfaen" w:eastAsia="Times New Roman" w:hAnsi="Sylfaen" w:cs="Arial"/>
          <w:sz w:val="24"/>
          <w:szCs w:val="24"/>
          <w:lang w:eastAsia="en-GB"/>
        </w:rPr>
      </w:pPr>
      <w:proofErr w:type="gramStart"/>
      <w:r w:rsidRPr="002E49F1">
        <w:rPr>
          <w:rFonts w:ascii="Sylfaen" w:eastAsia="Times New Roman" w:hAnsi="Sylfaen" w:cs="Arial"/>
          <w:sz w:val="24"/>
          <w:szCs w:val="24"/>
          <w:lang w:eastAsia="en-GB"/>
        </w:rPr>
        <w:t xml:space="preserve">ՄԻԵԴ-ը </w:t>
      </w:r>
      <w:hyperlink r:id="rId36" w:history="1">
        <w:r w:rsidRPr="002E49F1">
          <w:rPr>
            <w:rFonts w:ascii="Sylfaen" w:eastAsia="Times New Roman" w:hAnsi="Sylfaen" w:cs="Arial"/>
            <w:color w:val="0000FF"/>
            <w:sz w:val="24"/>
            <w:szCs w:val="24"/>
            <w:u w:val="single"/>
            <w:lang w:eastAsia="en-GB"/>
          </w:rPr>
          <w:t>Ատելության քարոզման համառոտ տեղեկանքում</w:t>
        </w:r>
      </w:hyperlink>
      <w:r w:rsidRPr="002E49F1">
        <w:rPr>
          <w:rFonts w:ascii="Sylfaen" w:eastAsia="Times New Roman" w:hAnsi="Sylfaen" w:cs="Arial"/>
          <w:sz w:val="24"/>
          <w:szCs w:val="24"/>
          <w:lang w:eastAsia="en-GB"/>
        </w:rPr>
        <w:t xml:space="preserve"> նշում է.</w:t>
      </w:r>
      <w:proofErr w:type="gramEnd"/>
      <w:r w:rsidRPr="002E49F1">
        <w:rPr>
          <w:rFonts w:ascii="Sylfaen" w:eastAsia="Times New Roman" w:hAnsi="Sylfaen" w:cs="Arial"/>
          <w:sz w:val="24"/>
          <w:szCs w:val="24"/>
          <w:lang w:eastAsia="en-GB"/>
        </w:rPr>
        <w:t xml:space="preserve"> </w:t>
      </w:r>
    </w:p>
    <w:p w:rsidR="002E49F1" w:rsidRPr="002E49F1" w:rsidRDefault="002E49F1" w:rsidP="002E49F1">
      <w:pPr>
        <w:spacing w:after="0"/>
        <w:jc w:val="both"/>
        <w:rPr>
          <w:rFonts w:ascii="Sylfaen" w:eastAsia="Times New Roman" w:hAnsi="Sylfaen" w:cs="Arial"/>
          <w:sz w:val="24"/>
          <w:szCs w:val="24"/>
          <w:lang w:eastAsia="en-GB"/>
        </w:rPr>
      </w:pPr>
    </w:p>
    <w:p w:rsidR="002E49F1" w:rsidRPr="002E49F1" w:rsidRDefault="002E49F1" w:rsidP="002E49F1">
      <w:pPr>
        <w:spacing w:after="0"/>
        <w:jc w:val="both"/>
        <w:rPr>
          <w:rFonts w:ascii="Sylfaen" w:eastAsia="Times New Roman" w:hAnsi="Sylfaen" w:cs="Arial"/>
          <w:i/>
          <w:sz w:val="24"/>
          <w:szCs w:val="24"/>
          <w:lang w:eastAsia="en-GB"/>
        </w:rPr>
      </w:pPr>
      <w:r w:rsidRPr="002E49F1">
        <w:rPr>
          <w:rFonts w:ascii="Sylfaen" w:eastAsia="Times New Roman" w:hAnsi="Sylfaen" w:cs="Arial"/>
          <w:i/>
          <w:sz w:val="24"/>
          <w:szCs w:val="24"/>
          <w:lang w:eastAsia="en-GB"/>
        </w:rPr>
        <w:t>«Մարդու իրավունքների եվրոպական կոնվենցիայի հեղինակները փորձել են ստեղծել ժողովրդավարական արժեքների վրա հիմնված մի ինստիտուցիոնալ շրջանակ ծայրահեղականությունները հաղթահարելու համար: Մարդու իրավունքների եվրոպական դատարանը հայտնաբերել է արտահայտման մի շարք ձևեր, որոնք համարվում են վիրավորական և Կոնվենցիային հակասող (այդ թվում` ռասիզմը, այլատյացությունը, անտիսեմիտիզմը, ագրեսիվ ազգայնականությունը և փոքրամասնությունների և ներգաղթյալների նկատմամբ խտրականությունը):</w:t>
      </w:r>
    </w:p>
    <w:p w:rsidR="002E49F1" w:rsidRPr="002E49F1" w:rsidRDefault="002E49F1" w:rsidP="002E49F1">
      <w:pPr>
        <w:spacing w:after="0"/>
        <w:jc w:val="both"/>
        <w:rPr>
          <w:rFonts w:ascii="Sylfaen" w:eastAsia="Times New Roman" w:hAnsi="Sylfaen" w:cs="Arial"/>
          <w:sz w:val="24"/>
          <w:szCs w:val="24"/>
          <w:lang w:eastAsia="en-GB"/>
        </w:rPr>
      </w:pPr>
      <w:r w:rsidRPr="002E49F1">
        <w:rPr>
          <w:rFonts w:ascii="Sylfaen" w:eastAsia="Times New Roman" w:hAnsi="Sylfaen" w:cs="Arial"/>
          <w:i/>
          <w:sz w:val="24"/>
          <w:szCs w:val="24"/>
          <w:lang w:eastAsia="en-GB"/>
        </w:rPr>
        <w:t xml:space="preserve">Այնուամենայնիվ, Դատարանն իր եզրակացություններում զգուշությամբ է տարբերակում մի կողմից ծայրահեղականության իրական և լուրջ հրահրումը, և մյուս </w:t>
      </w:r>
      <w:proofErr w:type="gramStart"/>
      <w:r w:rsidRPr="002E49F1">
        <w:rPr>
          <w:rFonts w:ascii="Sylfaen" w:eastAsia="Times New Roman" w:hAnsi="Sylfaen" w:cs="Arial"/>
          <w:i/>
          <w:sz w:val="24"/>
          <w:szCs w:val="24"/>
          <w:lang w:eastAsia="en-GB"/>
        </w:rPr>
        <w:t>կողմից  անձանց</w:t>
      </w:r>
      <w:proofErr w:type="gramEnd"/>
      <w:r w:rsidRPr="002E49F1">
        <w:rPr>
          <w:rFonts w:ascii="Sylfaen" w:eastAsia="Times New Roman" w:hAnsi="Sylfaen" w:cs="Arial"/>
          <w:i/>
          <w:sz w:val="24"/>
          <w:szCs w:val="24"/>
          <w:lang w:eastAsia="en-GB"/>
        </w:rPr>
        <w:t xml:space="preserve">  (այդ թվում` լրագրողների և քաղաքական գործիչների) իրենց տեսակետներն ազատ արտահայտելու իրավունքի և մյուսներին «վիրավորելու, շփոթեցնելու և վրդովեցնելու» միջև (տե´ս,  </w:t>
      </w:r>
      <w:hyperlink r:id="rId37" w:history="1">
        <w:r w:rsidRPr="002E49F1">
          <w:rPr>
            <w:rFonts w:ascii="Sylfaen" w:eastAsia="Times New Roman" w:hAnsi="Sylfaen" w:cs="Arial"/>
            <w:i/>
            <w:color w:val="0000FF"/>
            <w:sz w:val="24"/>
            <w:szCs w:val="24"/>
            <w:u w:val="single"/>
            <w:lang w:eastAsia="en-GB"/>
          </w:rPr>
          <w:t>Handyside v. the United Kingdom</w:t>
        </w:r>
      </w:hyperlink>
      <w:r w:rsidRPr="002E49F1">
        <w:rPr>
          <w:rFonts w:ascii="Sylfaen" w:eastAsia="Times New Roman" w:hAnsi="Sylfaen" w:cs="Arial"/>
          <w:i/>
          <w:sz w:val="24"/>
          <w:szCs w:val="24"/>
          <w:lang w:eastAsia="en-GB"/>
        </w:rPr>
        <w:t xml:space="preserve"> </w:t>
      </w:r>
      <w:r w:rsidRPr="002E49F1">
        <w:rPr>
          <w:rFonts w:ascii="Sylfaen" w:eastAsia="Times New Roman" w:hAnsi="Sylfaen" w:cs="Arial"/>
          <w:sz w:val="24"/>
          <w:szCs w:val="24"/>
          <w:lang w:eastAsia="en-GB"/>
        </w:rPr>
        <w:t>(դիմում թիվ  5493/72)</w:t>
      </w:r>
      <w:r w:rsidRPr="002E49F1">
        <w:rPr>
          <w:rFonts w:ascii="Sylfaen" w:eastAsia="Times New Roman" w:hAnsi="Sylfaen" w:cs="Arial"/>
          <w:i/>
          <w:sz w:val="24"/>
          <w:szCs w:val="24"/>
          <w:lang w:eastAsia="en-GB"/>
        </w:rPr>
        <w:t xml:space="preserve"> (</w:t>
      </w:r>
      <w:r w:rsidRPr="002E49F1">
        <w:rPr>
          <w:rFonts w:ascii="Sylfaen" w:eastAsia="Times New Roman" w:hAnsi="Sylfaen" w:cs="Arial"/>
          <w:sz w:val="24"/>
          <w:szCs w:val="24"/>
          <w:lang w:eastAsia="en-GB"/>
        </w:rPr>
        <w:t>1976թ. դեկտեմբերի 7, կետ. 49)</w:t>
      </w:r>
    </w:p>
    <w:p w:rsidR="002E49F1" w:rsidRPr="002E49F1" w:rsidRDefault="002E49F1" w:rsidP="002E49F1">
      <w:pPr>
        <w:spacing w:after="0"/>
        <w:jc w:val="both"/>
        <w:rPr>
          <w:rFonts w:ascii="Sylfaen" w:eastAsia="Times New Roman" w:hAnsi="Sylfaen" w:cs="Arial"/>
          <w:b/>
          <w:i/>
          <w:sz w:val="24"/>
          <w:szCs w:val="24"/>
          <w:lang w:eastAsia="en-GB"/>
        </w:rPr>
      </w:pPr>
    </w:p>
    <w:p w:rsidR="002E49F1" w:rsidRPr="002E49F1" w:rsidRDefault="002E49F1" w:rsidP="002E49F1">
      <w:pPr>
        <w:spacing w:after="0"/>
        <w:jc w:val="both"/>
        <w:rPr>
          <w:rFonts w:ascii="Sylfaen" w:eastAsia="Times New Roman" w:hAnsi="Sylfaen" w:cs="Arial"/>
          <w:i/>
          <w:sz w:val="24"/>
          <w:szCs w:val="24"/>
          <w:lang w:eastAsia="en-GB"/>
        </w:rPr>
      </w:pPr>
      <w:r w:rsidRPr="002E49F1">
        <w:rPr>
          <w:rFonts w:ascii="Sylfaen" w:eastAsia="Times New Roman" w:hAnsi="Sylfaen" w:cs="Arial"/>
          <w:i/>
          <w:sz w:val="24"/>
          <w:szCs w:val="24"/>
          <w:lang w:eastAsia="en-GB"/>
        </w:rPr>
        <w:t>Գոյություն չունի «ատելության քարոզման» համընդհանուր ընդունված սահմանում: Դատարանի նախադեպային իրավունքը սահմանել է մի քանի պարամետրեր, որոնք թույլ են տալիս բնութագրել «ատելության քարոզումը», որպեսզի այն բացառվի խոսքի ազատության իրավունքով (Կոնվենցիայի 10-րդ հոդված)  կամ  միավորումների և հավաքների ազատության իրավունքով (11-րդ հոդված) երաշխավորված պաշտպանությունից:</w:t>
      </w:r>
    </w:p>
    <w:p w:rsidR="002E49F1" w:rsidRPr="002E49F1" w:rsidRDefault="002E49F1" w:rsidP="002E49F1">
      <w:pPr>
        <w:spacing w:after="0"/>
        <w:jc w:val="both"/>
        <w:rPr>
          <w:rFonts w:ascii="Sylfaen" w:eastAsia="Times New Roman" w:hAnsi="Sylfaen" w:cs="Arial"/>
          <w:i/>
          <w:sz w:val="24"/>
          <w:szCs w:val="24"/>
          <w:lang w:eastAsia="en-GB"/>
        </w:rPr>
      </w:pPr>
      <w:r w:rsidRPr="002E49F1">
        <w:rPr>
          <w:rFonts w:ascii="Sylfaen" w:eastAsia="Times New Roman" w:hAnsi="Sylfaen" w:cs="Arial"/>
          <w:i/>
          <w:sz w:val="24"/>
          <w:szCs w:val="24"/>
          <w:lang w:eastAsia="en-GB"/>
        </w:rPr>
        <w:t>Դատարանը ատելության քարոզումը պաշտպանությունից բացառում է Կոնվենցիայով նախատեսված երկու մոտեցման միջոցով`</w:t>
      </w:r>
    </w:p>
    <w:p w:rsidR="002E49F1" w:rsidRPr="002E49F1" w:rsidRDefault="002E49F1" w:rsidP="002E49F1">
      <w:pPr>
        <w:spacing w:after="0"/>
        <w:jc w:val="both"/>
        <w:rPr>
          <w:rFonts w:ascii="Sylfaen" w:eastAsia="Times New Roman" w:hAnsi="Sylfaen" w:cs="Arial"/>
          <w:i/>
          <w:sz w:val="24"/>
          <w:szCs w:val="24"/>
          <w:lang w:eastAsia="en-GB"/>
        </w:rPr>
      </w:pPr>
      <w:r w:rsidRPr="002E49F1">
        <w:rPr>
          <w:rFonts w:ascii="Sylfaen" w:eastAsia="Times New Roman" w:hAnsi="Sylfaen" w:cs="Arial"/>
          <w:i/>
          <w:sz w:val="24"/>
          <w:szCs w:val="24"/>
          <w:lang w:eastAsia="en-GB"/>
        </w:rPr>
        <w:t xml:space="preserve">(ա)  </w:t>
      </w:r>
      <w:proofErr w:type="gramStart"/>
      <w:r w:rsidRPr="002E49F1">
        <w:rPr>
          <w:rFonts w:ascii="Sylfaen" w:eastAsia="Times New Roman" w:hAnsi="Sylfaen" w:cs="Arial"/>
          <w:i/>
          <w:sz w:val="24"/>
          <w:szCs w:val="24"/>
          <w:lang w:eastAsia="en-GB"/>
        </w:rPr>
        <w:t>կիրառելով</w:t>
      </w:r>
      <w:proofErr w:type="gramEnd"/>
      <w:r w:rsidRPr="002E49F1">
        <w:rPr>
          <w:rFonts w:ascii="Sylfaen" w:eastAsia="Times New Roman" w:hAnsi="Sylfaen" w:cs="Arial"/>
          <w:i/>
          <w:sz w:val="24"/>
          <w:szCs w:val="24"/>
          <w:lang w:eastAsia="en-GB"/>
        </w:rPr>
        <w:t xml:space="preserve"> Կոնվենցիաիայի 17-րդ հոդվածը  (իրավունքների չարաշահման արգելում), որով տվյալ մեկնաբանությունները համարվում են ատելության քարոզում և ժխտում են Կոնվենցայի հիմնարար արժեքները, կամ</w:t>
      </w:r>
    </w:p>
    <w:p w:rsidR="002E49F1" w:rsidRPr="002E49F1" w:rsidRDefault="002E49F1" w:rsidP="002E49F1">
      <w:pPr>
        <w:spacing w:after="0"/>
        <w:jc w:val="both"/>
        <w:rPr>
          <w:rFonts w:ascii="Sylfaen" w:eastAsia="Times New Roman" w:hAnsi="Sylfaen" w:cs="Arial"/>
          <w:i/>
          <w:sz w:val="24"/>
          <w:szCs w:val="24"/>
          <w:lang w:eastAsia="en-GB"/>
        </w:rPr>
      </w:pPr>
      <w:r w:rsidRPr="002E49F1">
        <w:rPr>
          <w:rFonts w:ascii="Sylfaen" w:eastAsia="Times New Roman" w:hAnsi="Sylfaen" w:cs="Arial"/>
          <w:i/>
          <w:sz w:val="24"/>
          <w:szCs w:val="24"/>
          <w:lang w:eastAsia="en-GB"/>
        </w:rPr>
        <w:t xml:space="preserve">(բ) </w:t>
      </w:r>
      <w:proofErr w:type="gramStart"/>
      <w:r w:rsidRPr="002E49F1">
        <w:rPr>
          <w:rFonts w:ascii="Sylfaen" w:eastAsia="Times New Roman" w:hAnsi="Sylfaen" w:cs="Arial"/>
          <w:i/>
          <w:sz w:val="24"/>
          <w:szCs w:val="24"/>
          <w:lang w:eastAsia="en-GB"/>
        </w:rPr>
        <w:t>կիրառելով</w:t>
      </w:r>
      <w:proofErr w:type="gramEnd"/>
      <w:r w:rsidRPr="002E49F1">
        <w:rPr>
          <w:rFonts w:ascii="Sylfaen" w:eastAsia="Times New Roman" w:hAnsi="Sylfaen" w:cs="Arial"/>
          <w:i/>
          <w:sz w:val="24"/>
          <w:szCs w:val="24"/>
          <w:lang w:eastAsia="en-GB"/>
        </w:rPr>
        <w:t xml:space="preserve"> Կոնվենցիայի 10-րդ հոդվածի երկրորդ մասով և  11-րդ հոդվածով նախատեսված սահամանափակումները (այս մոտեցումը կիրառվում է այն ժամանակ, երբ վիճահարույց խոսքը, թեև այլ ատելության քարոզում է, չի կարող  կործարար լինել Կոնվենցիայի հիմնարար արժեքների համար)»:</w:t>
      </w:r>
    </w:p>
    <w:p w:rsidR="002E49F1" w:rsidRPr="002E49F1" w:rsidRDefault="002E49F1" w:rsidP="002E49F1">
      <w:pPr>
        <w:spacing w:after="0"/>
        <w:jc w:val="both"/>
        <w:rPr>
          <w:rFonts w:ascii="Sylfaen" w:eastAsia="Times New Roman" w:hAnsi="Sylfaen" w:cs="Arial"/>
          <w:b/>
          <w:sz w:val="24"/>
          <w:szCs w:val="24"/>
          <w:shd w:val="clear" w:color="auto" w:fill="FFFFFF"/>
          <w:lang w:eastAsia="en-GB"/>
        </w:rPr>
      </w:pPr>
    </w:p>
    <w:p w:rsidR="002E49F1" w:rsidRPr="002E49F1" w:rsidRDefault="002E49F1" w:rsidP="002E49F1">
      <w:pPr>
        <w:spacing w:after="0"/>
        <w:jc w:val="both"/>
        <w:rPr>
          <w:rFonts w:ascii="Sylfaen" w:eastAsia="Times New Roman" w:hAnsi="Sylfaen" w:cs="Arial"/>
          <w:b/>
          <w:sz w:val="24"/>
          <w:szCs w:val="24"/>
          <w:shd w:val="clear" w:color="auto" w:fill="FFFFFF"/>
          <w:lang w:eastAsia="en-GB"/>
        </w:rPr>
      </w:pPr>
      <w:r w:rsidRPr="002E49F1">
        <w:rPr>
          <w:rFonts w:ascii="Sylfaen" w:eastAsia="Times New Roman" w:hAnsi="Sylfaen" w:cs="Arial"/>
          <w:b/>
          <w:sz w:val="24"/>
          <w:szCs w:val="24"/>
          <w:shd w:val="clear" w:color="auto" w:fill="FFFFFF"/>
          <w:lang w:eastAsia="en-GB"/>
        </w:rPr>
        <w:t xml:space="preserve">Ատելության հիմքով հանցագործություններ </w:t>
      </w:r>
    </w:p>
    <w:p w:rsidR="002E49F1" w:rsidRPr="002E49F1" w:rsidRDefault="002E49F1" w:rsidP="002E49F1">
      <w:pPr>
        <w:spacing w:after="0"/>
        <w:jc w:val="both"/>
        <w:rPr>
          <w:rFonts w:ascii="Sylfaen" w:eastAsia="Times New Roman" w:hAnsi="Sylfaen" w:cs="Arial"/>
          <w:sz w:val="24"/>
          <w:szCs w:val="24"/>
          <w:shd w:val="clear" w:color="auto" w:fill="FFFFFF"/>
          <w:lang w:eastAsia="en-GB"/>
        </w:rPr>
      </w:pPr>
      <w:r w:rsidRPr="002E49F1">
        <w:rPr>
          <w:rFonts w:ascii="Sylfaen" w:eastAsia="Times New Roman" w:hAnsi="Sylfaen" w:cs="Arial"/>
          <w:sz w:val="24"/>
          <w:szCs w:val="24"/>
          <w:shd w:val="clear" w:color="auto" w:fill="FFFFFF"/>
          <w:lang w:eastAsia="en-GB"/>
        </w:rPr>
        <w:t xml:space="preserve">«Ատելության հիմքով հանցագործությունները», ինչպես սահմանված են </w:t>
      </w:r>
      <w:hyperlink r:id="rId38" w:history="1">
        <w:r w:rsidRPr="002E49F1">
          <w:rPr>
            <w:rFonts w:ascii="Sylfaen" w:eastAsia="Times New Roman" w:hAnsi="Sylfaen" w:cs="Arial"/>
            <w:color w:val="0000FF"/>
            <w:sz w:val="24"/>
            <w:szCs w:val="24"/>
            <w:u w:val="single"/>
            <w:shd w:val="clear" w:color="auto" w:fill="FFFFFF"/>
            <w:lang w:eastAsia="en-GB"/>
          </w:rPr>
          <w:t xml:space="preserve">ԵԱՀԿ նախարարական խորհդի «Ատելության հիմքով հանցագործությունների դեմ </w:t>
        </w:r>
        <w:r w:rsidRPr="002E49F1">
          <w:rPr>
            <w:rFonts w:ascii="Sylfaen" w:eastAsia="Times New Roman" w:hAnsi="Sylfaen" w:cs="Arial"/>
            <w:color w:val="0000FF"/>
            <w:sz w:val="24"/>
            <w:szCs w:val="24"/>
            <w:u w:val="single"/>
            <w:shd w:val="clear" w:color="auto" w:fill="FFFFFF"/>
            <w:lang w:eastAsia="en-GB"/>
          </w:rPr>
          <w:lastRenderedPageBreak/>
          <w:t xml:space="preserve">պայքարի վերաբերյալ» թիվ 9/09 որոշմամբ </w:t>
        </w:r>
      </w:hyperlink>
      <w:r w:rsidRPr="002E49F1">
        <w:rPr>
          <w:rFonts w:ascii="Sylfaen" w:eastAsia="Times New Roman" w:hAnsi="Sylfaen" w:cs="Arial"/>
          <w:sz w:val="24"/>
          <w:szCs w:val="24"/>
          <w:shd w:val="clear" w:color="auto" w:fill="FFFFFF"/>
          <w:lang w:eastAsia="en-GB"/>
        </w:rPr>
        <w:t xml:space="preserve"> (Աթենք, 2009թ. դեկտեմբերի 2), «կանխակալությամբ կատարված քրեական հանցագործություններ են»: </w:t>
      </w:r>
    </w:p>
    <w:p w:rsidR="002E49F1" w:rsidRPr="002E49F1" w:rsidRDefault="002E49F1" w:rsidP="002E49F1">
      <w:pPr>
        <w:spacing w:after="0"/>
        <w:jc w:val="both"/>
        <w:rPr>
          <w:rFonts w:ascii="Sylfaen" w:eastAsia="Times New Roman" w:hAnsi="Sylfaen" w:cs="Arial"/>
          <w:sz w:val="24"/>
          <w:szCs w:val="24"/>
          <w:lang w:eastAsia="en-GB"/>
        </w:rPr>
      </w:pPr>
    </w:p>
    <w:p w:rsidR="002E49F1" w:rsidRPr="002E49F1" w:rsidRDefault="002E49F1" w:rsidP="002E49F1">
      <w:pPr>
        <w:autoSpaceDE w:val="0"/>
        <w:autoSpaceDN w:val="0"/>
        <w:adjustRightInd w:val="0"/>
        <w:spacing w:after="0"/>
        <w:jc w:val="both"/>
        <w:rPr>
          <w:rFonts w:ascii="Sylfaen" w:eastAsia="Times New Roman" w:hAnsi="Sylfaen" w:cs="Arial"/>
          <w:color w:val="000000"/>
          <w:sz w:val="24"/>
          <w:szCs w:val="24"/>
          <w:lang w:eastAsia="en-GB"/>
        </w:rPr>
      </w:pPr>
      <w:r w:rsidRPr="002E49F1">
        <w:rPr>
          <w:rFonts w:ascii="Sylfaen" w:eastAsia="Times New Roman" w:hAnsi="Sylfaen" w:cs="Arial"/>
          <w:color w:val="000000"/>
          <w:sz w:val="24"/>
          <w:szCs w:val="24"/>
          <w:lang w:eastAsia="en-GB"/>
        </w:rPr>
        <w:t xml:space="preserve">Ինչպես կարող ենք տեսնել, ատելության հիմքով հանցագործությունները հանցագործության այլ տեսակներից տարբերվում են հանցագործի դրդապատճառներով: </w:t>
      </w:r>
    </w:p>
    <w:p w:rsidR="002E49F1" w:rsidRPr="002E49F1" w:rsidRDefault="002E49F1" w:rsidP="002E49F1">
      <w:pPr>
        <w:autoSpaceDE w:val="0"/>
        <w:autoSpaceDN w:val="0"/>
        <w:adjustRightInd w:val="0"/>
        <w:spacing w:after="0"/>
        <w:jc w:val="both"/>
        <w:rPr>
          <w:rFonts w:ascii="Sylfaen" w:eastAsia="Times New Roman" w:hAnsi="Sylfaen" w:cs="Arial"/>
          <w:sz w:val="24"/>
          <w:szCs w:val="24"/>
          <w:lang w:eastAsia="en-GB"/>
        </w:rPr>
      </w:pPr>
    </w:p>
    <w:p w:rsidR="002E49F1" w:rsidRPr="002E49F1" w:rsidRDefault="002E49F1" w:rsidP="002E49F1">
      <w:pPr>
        <w:spacing w:after="0"/>
        <w:jc w:val="both"/>
        <w:rPr>
          <w:rFonts w:ascii="Sylfaen" w:eastAsia="Times New Roman" w:hAnsi="Sylfaen" w:cs="Arial"/>
          <w:sz w:val="24"/>
          <w:szCs w:val="24"/>
          <w:shd w:val="clear" w:color="auto" w:fill="FFFFFF"/>
          <w:lang w:eastAsia="en-GB"/>
        </w:rPr>
      </w:pPr>
      <w:r w:rsidRPr="002E49F1">
        <w:rPr>
          <w:rFonts w:ascii="Sylfaen" w:eastAsia="Times New Roman" w:hAnsi="Sylfaen" w:cs="Arial"/>
          <w:sz w:val="24"/>
          <w:szCs w:val="24"/>
          <w:shd w:val="clear" w:color="auto" w:fill="FFFFFF"/>
          <w:lang w:eastAsia="en-GB"/>
        </w:rPr>
        <w:t xml:space="preserve">Որպեսզի քրեական գործողությունն որակվի ատելության հիմքով հանցագործություն, պետք է համապատասխանի այս երկու չափանիշներին` </w:t>
      </w:r>
    </w:p>
    <w:p w:rsidR="002E49F1" w:rsidRPr="002E49F1" w:rsidRDefault="002E49F1" w:rsidP="002E49F1">
      <w:pPr>
        <w:numPr>
          <w:ilvl w:val="0"/>
          <w:numId w:val="5"/>
        </w:numPr>
        <w:spacing w:after="0"/>
        <w:contextualSpacing/>
        <w:jc w:val="both"/>
        <w:rPr>
          <w:rFonts w:ascii="Sylfaen" w:eastAsia="Times New Roman" w:hAnsi="Sylfaen" w:cs="Arial"/>
          <w:sz w:val="24"/>
          <w:szCs w:val="24"/>
          <w:shd w:val="clear" w:color="auto" w:fill="FFFFFF"/>
          <w:lang w:eastAsia="en-GB"/>
        </w:rPr>
      </w:pPr>
      <w:r w:rsidRPr="002E49F1">
        <w:rPr>
          <w:rFonts w:ascii="Sylfaen" w:eastAsia="Times New Roman" w:hAnsi="Sylfaen" w:cs="Arial"/>
          <w:sz w:val="24"/>
          <w:szCs w:val="24"/>
          <w:shd w:val="clear" w:color="auto" w:fill="FFFFFF"/>
          <w:lang w:eastAsia="en-GB"/>
        </w:rPr>
        <w:t>գործողությունը պետք է հանցագործություն համարվի այն երկրի քրեական օրենսգրքով, որտեղ, որ այն կատարվել է,</w:t>
      </w:r>
    </w:p>
    <w:p w:rsidR="002E49F1" w:rsidRPr="002E49F1" w:rsidRDefault="002E49F1" w:rsidP="002E49F1">
      <w:pPr>
        <w:numPr>
          <w:ilvl w:val="0"/>
          <w:numId w:val="5"/>
        </w:numPr>
        <w:spacing w:after="0"/>
        <w:contextualSpacing/>
        <w:jc w:val="both"/>
        <w:rPr>
          <w:rFonts w:ascii="Sylfaen" w:eastAsia="Times New Roman" w:hAnsi="Sylfaen" w:cs="Arial"/>
          <w:sz w:val="24"/>
          <w:szCs w:val="24"/>
          <w:shd w:val="clear" w:color="auto" w:fill="FFFFFF"/>
          <w:lang w:eastAsia="en-GB"/>
        </w:rPr>
      </w:pPr>
      <w:r w:rsidRPr="002E49F1">
        <w:rPr>
          <w:rFonts w:ascii="Sylfaen" w:eastAsia="Times New Roman" w:hAnsi="Sylfaen" w:cs="Arial"/>
          <w:sz w:val="24"/>
          <w:szCs w:val="24"/>
          <w:shd w:val="clear" w:color="auto" w:fill="FFFFFF"/>
          <w:lang w:eastAsia="en-GB"/>
        </w:rPr>
        <w:t xml:space="preserve">հանցագործությունը պետք է իրականացված լինի կանխակալ դրդապատճառներով: </w:t>
      </w:r>
    </w:p>
    <w:p w:rsidR="002E49F1" w:rsidRPr="002E49F1" w:rsidRDefault="002E49F1" w:rsidP="002E49F1">
      <w:pPr>
        <w:autoSpaceDE w:val="0"/>
        <w:autoSpaceDN w:val="0"/>
        <w:adjustRightInd w:val="0"/>
        <w:spacing w:after="0"/>
        <w:jc w:val="both"/>
        <w:rPr>
          <w:rFonts w:ascii="Sylfaen" w:eastAsia="Times New Roman" w:hAnsi="Sylfaen" w:cs="Arial"/>
          <w:sz w:val="24"/>
          <w:szCs w:val="24"/>
          <w:lang w:eastAsia="en-GB"/>
        </w:rPr>
      </w:pPr>
      <w:r w:rsidRPr="002E49F1">
        <w:rPr>
          <w:rFonts w:ascii="Sylfaen" w:eastAsia="Times New Roman" w:hAnsi="Sylfaen" w:cs="Arial"/>
          <w:sz w:val="24"/>
          <w:szCs w:val="24"/>
          <w:lang w:eastAsia="en-GB"/>
        </w:rPr>
        <w:br/>
      </w:r>
      <w:r w:rsidRPr="00724B64">
        <w:rPr>
          <w:rFonts w:ascii="Sylfaen" w:eastAsia="Times New Roman" w:hAnsi="Sylfaen" w:cs="Arial"/>
          <w:sz w:val="24"/>
          <w:szCs w:val="24"/>
          <w:highlight w:val="yellow"/>
          <w:shd w:val="clear" w:color="auto" w:fill="FFFFFF"/>
          <w:lang w:eastAsia="en-GB"/>
        </w:rPr>
        <w:t xml:space="preserve">«Կանխակալ դրդապատճառ» նշանակում է, որ հանցագործը հանցագործության թիրախն ընտրում է որոշակի հատկանիշներով պայմանավորված: Ատելության հիմքով հանցագործության թիրախը կարող է լինել անձը, ժողովուրդը կամ մեկ կամ ավելի </w:t>
      </w:r>
      <w:r w:rsidRPr="00724B64">
        <w:rPr>
          <w:rFonts w:ascii="Sylfaen" w:eastAsia="Times New Roman" w:hAnsi="Sylfaen" w:cs="Arial"/>
          <w:sz w:val="24"/>
          <w:szCs w:val="24"/>
          <w:highlight w:val="green"/>
          <w:shd w:val="clear" w:color="auto" w:fill="FFFFFF"/>
          <w:lang w:eastAsia="en-GB"/>
        </w:rPr>
        <w:t xml:space="preserve">ընդհանուր հատկանիշներ </w:t>
      </w:r>
      <w:r w:rsidRPr="00724B64">
        <w:rPr>
          <w:rFonts w:ascii="Sylfaen" w:eastAsia="Times New Roman" w:hAnsi="Sylfaen" w:cs="Arial"/>
          <w:sz w:val="24"/>
          <w:szCs w:val="24"/>
          <w:highlight w:val="yellow"/>
          <w:shd w:val="clear" w:color="auto" w:fill="FFFFFF"/>
          <w:lang w:eastAsia="en-GB"/>
        </w:rPr>
        <w:t>ունեցող խմբի հետ կապված գույքը:</w:t>
      </w:r>
      <w:r w:rsidRPr="002E49F1">
        <w:rPr>
          <w:rFonts w:ascii="Sylfaen" w:eastAsia="Times New Roman" w:hAnsi="Sylfaen" w:cs="Arial"/>
          <w:sz w:val="24"/>
          <w:szCs w:val="24"/>
          <w:shd w:val="clear" w:color="auto" w:fill="FFFFFF"/>
          <w:lang w:eastAsia="en-GB"/>
        </w:rPr>
        <w:t xml:space="preserve"> Ատելության հիմքով հանցագործությունը կարող է արտահայտվել ահաբեկման, սպառնալիքների, գույքային վնասի, հարձակման, սպանության կամ ցանկացած այլ քրեական հանցագործության ձևով: Կանխակալությունը հանցագործությունը դարձնում է ավելի ծանրացուցիչ, քանի որ անմիջական զոհի նկատմամբ հանցագործություն  կատարելով, հանցագործը ուղերձ է հղում նույն հատկանիշներն ունեցող անձանց խմբին:</w:t>
      </w:r>
      <w:r w:rsidRPr="002E49F1">
        <w:rPr>
          <w:rFonts w:ascii="Sylfaen" w:eastAsia="Times New Roman" w:hAnsi="Sylfaen" w:cs="Arial"/>
          <w:sz w:val="24"/>
          <w:szCs w:val="24"/>
          <w:lang w:eastAsia="en-GB"/>
        </w:rPr>
        <w:t xml:space="preserve">   </w:t>
      </w:r>
    </w:p>
    <w:p w:rsidR="002E49F1" w:rsidRPr="002E49F1" w:rsidRDefault="002E49F1" w:rsidP="002E49F1">
      <w:pPr>
        <w:autoSpaceDE w:val="0"/>
        <w:autoSpaceDN w:val="0"/>
        <w:adjustRightInd w:val="0"/>
        <w:spacing w:after="0"/>
        <w:jc w:val="both"/>
        <w:rPr>
          <w:rFonts w:ascii="Sylfaen" w:eastAsia="Times New Roman" w:hAnsi="Sylfaen" w:cs="Arial"/>
          <w:bCs/>
          <w:sz w:val="24"/>
          <w:szCs w:val="24"/>
          <w:lang w:eastAsia="en-GB"/>
        </w:rPr>
      </w:pPr>
    </w:p>
    <w:p w:rsidR="002E49F1" w:rsidRDefault="002E49F1" w:rsidP="002E49F1">
      <w:pPr>
        <w:autoSpaceDE w:val="0"/>
        <w:autoSpaceDN w:val="0"/>
        <w:adjustRightInd w:val="0"/>
        <w:spacing w:after="0"/>
        <w:jc w:val="both"/>
        <w:rPr>
          <w:rFonts w:ascii="Sylfaen" w:eastAsia="Times New Roman" w:hAnsi="Sylfaen" w:cs="Arial"/>
          <w:bCs/>
          <w:sz w:val="24"/>
          <w:szCs w:val="24"/>
          <w:lang w:eastAsia="en-GB"/>
        </w:rPr>
      </w:pPr>
      <w:r w:rsidRPr="002E49F1">
        <w:rPr>
          <w:rFonts w:ascii="Sylfaen" w:eastAsia="Times New Roman" w:hAnsi="Sylfaen" w:cs="Arial"/>
          <w:bCs/>
          <w:sz w:val="24"/>
          <w:szCs w:val="24"/>
          <w:lang w:eastAsia="en-GB"/>
        </w:rPr>
        <w:t>Ինչպես արդարացիորեն նշվում է ԵԱՀԿ «Ատելության հիմքով հանցագործությունների մասին օրենքի ուղեցույցում»,</w:t>
      </w:r>
    </w:p>
    <w:p w:rsidR="00376129" w:rsidRPr="002E49F1" w:rsidRDefault="00376129" w:rsidP="002E49F1">
      <w:pPr>
        <w:autoSpaceDE w:val="0"/>
        <w:autoSpaceDN w:val="0"/>
        <w:adjustRightInd w:val="0"/>
        <w:spacing w:after="0"/>
        <w:jc w:val="both"/>
        <w:rPr>
          <w:rFonts w:ascii="Sylfaen" w:eastAsia="Times New Roman" w:hAnsi="Sylfaen" w:cs="Arial"/>
          <w:bCs/>
          <w:sz w:val="24"/>
          <w:szCs w:val="24"/>
          <w:lang w:eastAsia="en-GB"/>
        </w:rPr>
      </w:pPr>
    </w:p>
    <w:p w:rsidR="002E49F1" w:rsidRPr="002E49F1" w:rsidRDefault="002E49F1" w:rsidP="002E49F1">
      <w:pPr>
        <w:autoSpaceDE w:val="0"/>
        <w:autoSpaceDN w:val="0"/>
        <w:adjustRightInd w:val="0"/>
        <w:spacing w:after="0"/>
        <w:jc w:val="both"/>
        <w:rPr>
          <w:rFonts w:ascii="Sylfaen" w:eastAsia="Times New Roman" w:hAnsi="Sylfaen" w:cs="Arial"/>
          <w:color w:val="000000"/>
          <w:sz w:val="24"/>
          <w:szCs w:val="24"/>
          <w:lang w:eastAsia="en-GB"/>
        </w:rPr>
      </w:pPr>
      <w:r w:rsidRPr="002E49F1">
        <w:rPr>
          <w:rFonts w:ascii="Sylfaen" w:eastAsia="Times New Roman" w:hAnsi="Sylfaen" w:cs="Arial"/>
          <w:bCs/>
          <w:i/>
          <w:sz w:val="24"/>
          <w:szCs w:val="24"/>
          <w:lang w:eastAsia="en-GB"/>
        </w:rPr>
        <w:t>«ատելության հիմքով հանցագործություններն անհանդուրժողականության բռնի դրսևորումներ են և խորապես ազդում են ոչ միայն անմիջական զոհի, այլ նաև այն խմբի վրա, որի հետ զոհն ինքն իրեն նույնականացնում էր»:</w:t>
      </w:r>
      <w:r w:rsidRPr="002E49F1">
        <w:rPr>
          <w:rFonts w:ascii="Sylfaen" w:eastAsia="Times New Roman" w:hAnsi="Sylfaen" w:cs="Arial"/>
          <w:i/>
          <w:color w:val="000000"/>
          <w:sz w:val="24"/>
          <w:szCs w:val="24"/>
          <w:lang w:eastAsia="en-GB"/>
        </w:rPr>
        <w:t xml:space="preserve"> «Որևէ անձի ինքնությունը թիրախ դարձնելով` ատելության հիմքով հանցագործություններն ավելի մեծ վնաս են պատճառում, քան սովորական հանցագործությունները: Անմիջական զոհը կարող է ստանալ մեծ հոգեբանական վնասվածքներ և խոցելիության ավելի մեծ զգացում, քանի որ նա չի կարող  փոխել այն հատկանիշը, </w:t>
      </w:r>
      <w:r w:rsidRPr="002E49F1">
        <w:rPr>
          <w:rFonts w:ascii="Sylfaen" w:eastAsia="Times New Roman" w:hAnsi="Sylfaen" w:cs="Arial"/>
          <w:i/>
          <w:color w:val="000000"/>
          <w:sz w:val="24"/>
          <w:szCs w:val="24"/>
          <w:lang w:eastAsia="en-GB"/>
        </w:rPr>
        <w:lastRenderedPageBreak/>
        <w:t xml:space="preserve">որը նրան զոհ է դարձրել: Ատելության հիմքով հանցագործութուններն ավելի խորը հոգեբանական ազդեցություն ունեն զոհերի վրա` առաջացնելով ընկճախտի և տագնապի զգացումներ: </w:t>
      </w:r>
    </w:p>
    <w:p w:rsidR="002E49F1" w:rsidRPr="002E49F1" w:rsidRDefault="002E49F1" w:rsidP="002E49F1">
      <w:pPr>
        <w:autoSpaceDE w:val="0"/>
        <w:autoSpaceDN w:val="0"/>
        <w:adjustRightInd w:val="0"/>
        <w:spacing w:after="0"/>
        <w:jc w:val="both"/>
        <w:rPr>
          <w:rFonts w:ascii="Sylfaen" w:eastAsia="Times New Roman" w:hAnsi="Sylfaen" w:cs="Arial"/>
          <w:b/>
          <w:sz w:val="24"/>
          <w:szCs w:val="24"/>
          <w:lang w:eastAsia="en-GB"/>
        </w:rPr>
      </w:pPr>
      <w:r w:rsidRPr="002E49F1">
        <w:rPr>
          <w:rFonts w:ascii="Sylfaen" w:eastAsia="Times New Roman" w:hAnsi="Sylfaen" w:cs="Arial"/>
          <w:color w:val="000000"/>
          <w:sz w:val="24"/>
          <w:szCs w:val="24"/>
          <w:lang w:eastAsia="en-GB"/>
        </w:rPr>
        <w:t xml:space="preserve">(տե´ս, </w:t>
      </w:r>
      <w:hyperlink r:id="rId39" w:history="1">
        <w:r w:rsidRPr="002E49F1">
          <w:rPr>
            <w:rFonts w:ascii="Sylfaen" w:eastAsia="Times New Roman" w:hAnsi="Sylfaen" w:cs="Arial"/>
            <w:color w:val="0000FF"/>
            <w:sz w:val="24"/>
            <w:szCs w:val="24"/>
            <w:u w:val="single"/>
            <w:lang w:eastAsia="en-GB"/>
          </w:rPr>
          <w:t>Hate Crime Laws: A Practical Guide</w:t>
        </w:r>
      </w:hyperlink>
      <w:r w:rsidRPr="002E49F1">
        <w:rPr>
          <w:rFonts w:ascii="Sylfaen" w:eastAsia="Times New Roman" w:hAnsi="Sylfaen" w:cs="Arial"/>
          <w:color w:val="000000"/>
          <w:sz w:val="24"/>
          <w:szCs w:val="24"/>
          <w:lang w:eastAsia="en-GB"/>
        </w:rPr>
        <w:t xml:space="preserve"> Հրատարակվել է ԵԱՀԿ Ժողովրդավարական ինստիտուտների և մարդու իրավունքների գրասենյակի </w:t>
      </w:r>
      <w:r w:rsidRPr="002E49F1">
        <w:rPr>
          <w:rFonts w:ascii="Sylfaen" w:eastAsia="Times New Roman" w:hAnsi="Sylfaen" w:cs="Arial"/>
          <w:sz w:val="24"/>
          <w:szCs w:val="24"/>
          <w:lang w:eastAsia="en-GB"/>
        </w:rPr>
        <w:t xml:space="preserve">(ԺԻՄԻԳ) կողմից www.osce.org/odihr) </w:t>
      </w:r>
    </w:p>
    <w:p w:rsidR="002E49F1" w:rsidRPr="002E49F1" w:rsidRDefault="002E49F1" w:rsidP="002E49F1">
      <w:pPr>
        <w:spacing w:after="0"/>
        <w:jc w:val="both"/>
        <w:rPr>
          <w:rFonts w:ascii="Sylfaen" w:eastAsia="Times New Roman" w:hAnsi="Sylfaen" w:cs="Arial"/>
          <w:sz w:val="24"/>
          <w:szCs w:val="24"/>
          <w:lang w:eastAsia="en-GB"/>
        </w:rPr>
      </w:pPr>
    </w:p>
    <w:p w:rsidR="002E49F1" w:rsidRPr="002E49F1" w:rsidRDefault="002E49F1" w:rsidP="002E49F1">
      <w:pPr>
        <w:autoSpaceDE w:val="0"/>
        <w:autoSpaceDN w:val="0"/>
        <w:adjustRightInd w:val="0"/>
        <w:spacing w:after="0"/>
        <w:jc w:val="both"/>
        <w:rPr>
          <w:rFonts w:ascii="Sylfaen" w:eastAsia="Times New Roman" w:hAnsi="Sylfaen" w:cs="Arial"/>
          <w:color w:val="000000"/>
          <w:sz w:val="24"/>
          <w:szCs w:val="24"/>
          <w:lang w:eastAsia="en-GB"/>
        </w:rPr>
      </w:pPr>
      <w:r w:rsidRPr="002E49F1">
        <w:rPr>
          <w:rFonts w:ascii="Sylfaen" w:eastAsia="Times New Roman" w:hAnsi="Sylfaen" w:cs="Arial"/>
          <w:sz w:val="24"/>
          <w:szCs w:val="24"/>
          <w:lang w:eastAsia="en-GB"/>
        </w:rPr>
        <w:t xml:space="preserve">ԵԱՀԿ ուղեցույցը տարբերակում է կատարում ատելության հիմքով հանցագործությունների, ատելության քարոզման և ոչ բռնի խտրականության միջև: Ընդհանուր առմամբ, ատելության հիմքով հանցագործությունների մասին օրենքները չեն ներառում պատիժներ խտրականության համար, քանի որ չկա քրեական հիմքով հանցանք, այսպիսով, ատելության հիմքով հանցագործության առաջին կարևոր տարրը բացակայում է: Այնուամենայնիվ, որոշ իրավազորություններ քրեականացրել են քարոզումն իր հատուկ բովանդակության պատճառով </w:t>
      </w:r>
      <w:r w:rsidRPr="002E49F1">
        <w:rPr>
          <w:rFonts w:ascii="Sylfaen" w:eastAsia="Times New Roman" w:hAnsi="Sylfaen" w:cs="Arial"/>
          <w:color w:val="000000"/>
          <w:sz w:val="24"/>
          <w:szCs w:val="24"/>
          <w:lang w:eastAsia="en-GB"/>
        </w:rPr>
        <w:t>(օրինակ` ատելության հրահրումը, Հոլոքոստի ժխտումը կամ նացիստական   գաղափարախոսության փառաբանումը</w:t>
      </w:r>
      <w:r w:rsidRPr="002E49F1">
        <w:rPr>
          <w:rFonts w:ascii="Sylfaen" w:eastAsia="Times New Roman" w:hAnsi="Sylfaen" w:cs="Arial"/>
          <w:sz w:val="24"/>
          <w:szCs w:val="24"/>
          <w:lang w:eastAsia="en-GB"/>
        </w:rPr>
        <w:t xml:space="preserve">): </w:t>
      </w:r>
    </w:p>
    <w:p w:rsidR="002E49F1" w:rsidRPr="002E49F1" w:rsidRDefault="002E49F1" w:rsidP="002E49F1">
      <w:pPr>
        <w:spacing w:after="0"/>
        <w:jc w:val="both"/>
        <w:rPr>
          <w:rFonts w:ascii="Sylfaen" w:eastAsia="Times New Roman" w:hAnsi="Sylfaen" w:cs="Arial"/>
          <w:sz w:val="24"/>
          <w:szCs w:val="24"/>
          <w:lang w:eastAsia="en-GB"/>
        </w:rPr>
      </w:pPr>
    </w:p>
    <w:p w:rsidR="002E49F1" w:rsidRPr="002E49F1" w:rsidRDefault="002E49F1" w:rsidP="002E49F1">
      <w:pPr>
        <w:spacing w:after="0"/>
        <w:jc w:val="both"/>
        <w:rPr>
          <w:rFonts w:ascii="Sylfaen" w:eastAsia="Times New Roman" w:hAnsi="Sylfaen" w:cs="Arial"/>
          <w:sz w:val="24"/>
          <w:szCs w:val="24"/>
          <w:shd w:val="clear" w:color="auto" w:fill="FFFFFF"/>
          <w:lang w:eastAsia="en-GB"/>
        </w:rPr>
      </w:pPr>
      <w:r w:rsidRPr="002E49F1">
        <w:rPr>
          <w:rFonts w:ascii="Sylfaen" w:eastAsia="Times New Roman" w:hAnsi="Sylfaen" w:cs="Arial"/>
          <w:sz w:val="24"/>
          <w:szCs w:val="24"/>
          <w:shd w:val="clear" w:color="auto" w:fill="FFFFFF"/>
          <w:lang w:eastAsia="en-GB"/>
        </w:rPr>
        <w:t xml:space="preserve">Ատելության հիմքով հանցագործությունների լրջությունը և անդամ պետությունների կողմից դրանք կանգնեցնելուն ուղղված գործողությունների ձեռնարկման պարտականոթյունն ընդգծվել է ՄԻԵԴ-ի կողմից: Մեծ պալատի </w:t>
      </w:r>
      <w:r w:rsidRPr="002E49F1">
        <w:rPr>
          <w:rFonts w:ascii="Sylfaen" w:eastAsia="Times New Roman" w:hAnsi="Sylfaen" w:cs="Arial"/>
          <w:i/>
          <w:sz w:val="24"/>
          <w:szCs w:val="24"/>
          <w:shd w:val="clear" w:color="auto" w:fill="FFFFFF"/>
          <w:lang w:eastAsia="en-GB"/>
        </w:rPr>
        <w:t>Նաչովան ընդդեմ Բուլղարիայ</w:t>
      </w:r>
      <w:bookmarkStart w:id="0" w:name="(2)"/>
      <w:r w:rsidRPr="002E49F1">
        <w:rPr>
          <w:rFonts w:ascii="Sylfaen" w:eastAsia="Times New Roman" w:hAnsi="Sylfaen" w:cs="Arial"/>
          <w:i/>
          <w:sz w:val="24"/>
          <w:szCs w:val="24"/>
          <w:shd w:val="clear" w:color="auto" w:fill="FFFFFF"/>
          <w:lang w:eastAsia="en-GB"/>
        </w:rPr>
        <w:t xml:space="preserve">ի </w:t>
      </w:r>
      <w:r w:rsidRPr="002E49F1">
        <w:rPr>
          <w:rFonts w:ascii="Sylfaen" w:eastAsia="Times New Roman" w:hAnsi="Sylfaen" w:cs="Arial"/>
          <w:sz w:val="24"/>
          <w:szCs w:val="24"/>
          <w:shd w:val="clear" w:color="auto" w:fill="FFFFFF"/>
          <w:lang w:eastAsia="en-GB"/>
        </w:rPr>
        <w:t> </w:t>
      </w:r>
      <w:bookmarkEnd w:id="0"/>
      <w:r w:rsidRPr="002E49F1">
        <w:rPr>
          <w:rFonts w:ascii="Sylfaen" w:eastAsia="Times New Roman" w:hAnsi="Sylfaen" w:cs="Arial"/>
          <w:sz w:val="24"/>
          <w:szCs w:val="24"/>
          <w:shd w:val="clear" w:color="auto" w:fill="FFFFFF"/>
          <w:lang w:eastAsia="en-GB"/>
        </w:rPr>
        <w:t>[</w:t>
      </w:r>
      <w:hyperlink r:id="rId40" w:history="1">
        <w:r w:rsidRPr="002E49F1">
          <w:rPr>
            <w:rFonts w:ascii="Sylfaen" w:eastAsia="Times New Roman" w:hAnsi="Sylfaen" w:cs="Arial"/>
            <w:i/>
            <w:color w:val="0000FF"/>
            <w:sz w:val="24"/>
            <w:szCs w:val="24"/>
            <w:u w:val="single"/>
            <w:lang w:val="en-GB" w:eastAsia="en-GB"/>
          </w:rPr>
          <w:t>Nachova v. Bulgaria</w:t>
        </w:r>
      </w:hyperlink>
      <w:r w:rsidRPr="002E49F1">
        <w:rPr>
          <w:rFonts w:ascii="Sylfaen" w:eastAsia="Times New Roman" w:hAnsi="Sylfaen" w:cs="Arial"/>
          <w:sz w:val="24"/>
          <w:szCs w:val="24"/>
          <w:shd w:val="clear" w:color="auto" w:fill="FFFFFF"/>
          <w:lang w:eastAsia="en-GB"/>
        </w:rPr>
        <w:t>]  գործով կայացրած վճռում, Դատարանը, օրինակ, ընդգծել է ռասայական դրդապատճառներով իրականացված բռնությունների դեպքում արդյունավետ հետաքննության կարևորությունը  և անդամ պետության կողմից բոլոր ողջամիտ քայլերը ձեռնարկելու պարտականությունը պարզելու համար, թե արդյոք էթնիկական ատելությունը կամ նախապաշարումը դերակատարում են ունեցել այդ իրադարձություններում:</w:t>
      </w:r>
    </w:p>
    <w:p w:rsidR="002E49F1" w:rsidRPr="002E49F1" w:rsidRDefault="002E49F1" w:rsidP="002E49F1">
      <w:pPr>
        <w:autoSpaceDE w:val="0"/>
        <w:autoSpaceDN w:val="0"/>
        <w:adjustRightInd w:val="0"/>
        <w:spacing w:after="0"/>
        <w:jc w:val="both"/>
        <w:rPr>
          <w:rFonts w:ascii="Sylfaen" w:eastAsia="Times New Roman" w:hAnsi="Sylfaen" w:cs="Arial"/>
          <w:sz w:val="24"/>
          <w:szCs w:val="24"/>
          <w:lang w:eastAsia="en-GB"/>
        </w:rPr>
      </w:pPr>
    </w:p>
    <w:p w:rsidR="002E49F1" w:rsidRPr="002E49F1" w:rsidRDefault="002E49F1" w:rsidP="002E49F1">
      <w:pPr>
        <w:autoSpaceDE w:val="0"/>
        <w:autoSpaceDN w:val="0"/>
        <w:adjustRightInd w:val="0"/>
        <w:spacing w:after="0"/>
        <w:jc w:val="both"/>
        <w:rPr>
          <w:rFonts w:ascii="Sylfaen" w:eastAsia="Times New Roman" w:hAnsi="Sylfaen" w:cs="Arial"/>
          <w:sz w:val="24"/>
          <w:szCs w:val="24"/>
          <w:lang w:eastAsia="en-GB"/>
        </w:rPr>
      </w:pPr>
      <w:r w:rsidRPr="002E49F1">
        <w:rPr>
          <w:rFonts w:ascii="Sylfaen" w:eastAsia="Times New Roman" w:hAnsi="Sylfaen" w:cs="Arial"/>
          <w:sz w:val="24"/>
          <w:szCs w:val="24"/>
          <w:lang w:eastAsia="en-GB"/>
        </w:rPr>
        <w:t xml:space="preserve">Քանի դեռ ՄԻԵԴ-ը չի պահանջել ատելության հիմքով հանցագործությունների նկատմամբ հատուկ օրենսդրության ներդնում, այն բացահայտ կերպով ընդունում է, որ ատելության հիմքով հանցագործությունները պետք է ստանան քրեական արդարադատության արձագանքը` պատճառված վնասներին համարժեք:  Այսպիսով, </w:t>
      </w:r>
      <w:r w:rsidRPr="002E49F1">
        <w:rPr>
          <w:rFonts w:ascii="Sylfaen" w:eastAsia="Times New Roman" w:hAnsi="Sylfaen" w:cs="Arial"/>
          <w:i/>
          <w:sz w:val="24"/>
          <w:szCs w:val="24"/>
          <w:lang w:eastAsia="en-GB"/>
        </w:rPr>
        <w:t>Սեչիչն ընդդեմ Խորվաթիայի [</w:t>
      </w:r>
      <w:hyperlink r:id="rId41" w:history="1">
        <w:r w:rsidRPr="002E49F1">
          <w:rPr>
            <w:rFonts w:ascii="Sylfaen" w:eastAsia="Times New Roman" w:hAnsi="Sylfaen" w:cs="Arial"/>
            <w:i/>
            <w:iCs/>
            <w:color w:val="0000FF"/>
            <w:sz w:val="24"/>
            <w:szCs w:val="24"/>
            <w:u w:val="single"/>
            <w:lang w:eastAsia="en-GB"/>
          </w:rPr>
          <w:t>Secic v. Croatia</w:t>
        </w:r>
      </w:hyperlink>
      <w:r w:rsidRPr="002E49F1">
        <w:rPr>
          <w:rFonts w:ascii="Sylfaen" w:eastAsia="Times New Roman" w:hAnsi="Sylfaen" w:cs="Times New Roman"/>
          <w:sz w:val="24"/>
          <w:szCs w:val="24"/>
          <w:lang w:val="en-GB" w:eastAsia="en-GB"/>
        </w:rPr>
        <w:t>]</w:t>
      </w:r>
      <w:r w:rsidRPr="002E49F1">
        <w:rPr>
          <w:rFonts w:ascii="Sylfaen" w:eastAsia="Times New Roman" w:hAnsi="Sylfaen" w:cs="Arial"/>
          <w:i/>
          <w:iCs/>
          <w:sz w:val="24"/>
          <w:szCs w:val="24"/>
          <w:lang w:eastAsia="en-GB"/>
        </w:rPr>
        <w:t xml:space="preserve"> </w:t>
      </w:r>
      <w:r w:rsidRPr="002E49F1">
        <w:rPr>
          <w:rFonts w:ascii="Sylfaen" w:eastAsia="Times New Roman" w:hAnsi="Sylfaen" w:cs="Arial"/>
          <w:iCs/>
          <w:sz w:val="24"/>
          <w:szCs w:val="24"/>
          <w:lang w:eastAsia="en-GB"/>
        </w:rPr>
        <w:t>(դիմում թիվ 40116/02)</w:t>
      </w:r>
      <w:r w:rsidRPr="002E49F1">
        <w:rPr>
          <w:rFonts w:ascii="Sylfaen" w:eastAsia="Times New Roman" w:hAnsi="Sylfaen" w:cs="Arial"/>
          <w:sz w:val="24"/>
          <w:szCs w:val="24"/>
          <w:lang w:eastAsia="en-GB"/>
        </w:rPr>
        <w:t xml:space="preserve"> 2007թ.մայիսի 31, կետ 66) գործում ՄԻԵԴԸ հիշեցրել է, որ </w:t>
      </w:r>
    </w:p>
    <w:p w:rsidR="002E49F1" w:rsidRPr="002E49F1" w:rsidRDefault="002E49F1" w:rsidP="002E49F1">
      <w:pPr>
        <w:autoSpaceDE w:val="0"/>
        <w:autoSpaceDN w:val="0"/>
        <w:adjustRightInd w:val="0"/>
        <w:spacing w:after="0"/>
        <w:jc w:val="both"/>
        <w:rPr>
          <w:rFonts w:ascii="Sylfaen" w:eastAsia="Times New Roman" w:hAnsi="Sylfaen" w:cs="Arial"/>
          <w:i/>
          <w:iCs/>
          <w:sz w:val="24"/>
          <w:szCs w:val="24"/>
          <w:lang w:eastAsia="en-GB"/>
        </w:rPr>
      </w:pPr>
      <w:r w:rsidRPr="002E49F1">
        <w:rPr>
          <w:rFonts w:ascii="Sylfaen" w:eastAsia="Times New Roman" w:hAnsi="Sylfaen" w:cs="Arial"/>
          <w:i/>
          <w:iCs/>
          <w:sz w:val="24"/>
          <w:szCs w:val="24"/>
          <w:lang w:eastAsia="en-GB"/>
        </w:rPr>
        <w:t xml:space="preserve">«… </w:t>
      </w:r>
      <w:r w:rsidRPr="002E49F1">
        <w:rPr>
          <w:rFonts w:ascii="Sylfaen" w:eastAsia="Times New Roman" w:hAnsi="Sylfaen" w:cs="Arial"/>
          <w:i/>
          <w:sz w:val="24"/>
          <w:szCs w:val="24"/>
          <w:lang w:val="en-GB" w:eastAsia="en-GB"/>
        </w:rPr>
        <w:t xml:space="preserve">Բռնության միջադեպերը հետաքննելիս պետական իշխանություններն ունեն լրացուցիչ   պարտականություն ձեռնարկելու բոլոր ողջամիտ քայլերը ռասիստական </w:t>
      </w:r>
      <w:r w:rsidRPr="002E49F1">
        <w:rPr>
          <w:rFonts w:ascii="Sylfaen" w:eastAsia="Times New Roman" w:hAnsi="Sylfaen" w:cs="Arial"/>
          <w:i/>
          <w:sz w:val="24"/>
          <w:szCs w:val="24"/>
          <w:lang w:val="en-GB" w:eastAsia="en-GB"/>
        </w:rPr>
        <w:lastRenderedPageBreak/>
        <w:t xml:space="preserve">դրդապատճառները բացահայտելու համար և պարզելու, թե արդյոք էթնիկական ատելությունը կամ նախապաշարումները կարող էին դերակատարում ունենալ այդ իրադարձությունների ժամանակ: Այս պարտականության չկատարումը և ռասայական դրդապատճառներով բռնությունների և դաժանությունների նկատմամբ առանց ռասայական հիմքի գործերի նման վերաբերմունքի ցուցաբերումը նշանակում է աչք փակել առանձնահատուկ բնույթի գործողությունների վրա, որոնք հատկապես կործանարար են հիմնարար իրավունքների համար»: </w:t>
      </w:r>
    </w:p>
    <w:p w:rsidR="002E49F1" w:rsidRPr="002E49F1" w:rsidRDefault="002E49F1" w:rsidP="002E49F1">
      <w:pPr>
        <w:autoSpaceDE w:val="0"/>
        <w:autoSpaceDN w:val="0"/>
        <w:adjustRightInd w:val="0"/>
        <w:spacing w:after="0"/>
        <w:rPr>
          <w:rFonts w:ascii="Sylfaen" w:eastAsia="Times New Roman" w:hAnsi="Sylfaen" w:cs="Arial"/>
          <w:sz w:val="24"/>
          <w:szCs w:val="24"/>
          <w:lang w:eastAsia="en-GB"/>
        </w:rPr>
      </w:pPr>
    </w:p>
    <w:p w:rsidR="002E49F1" w:rsidRPr="002E49F1" w:rsidRDefault="002E49F1" w:rsidP="002E49F1">
      <w:pPr>
        <w:autoSpaceDE w:val="0"/>
        <w:autoSpaceDN w:val="0"/>
        <w:adjustRightInd w:val="0"/>
        <w:spacing w:after="0"/>
        <w:jc w:val="both"/>
        <w:rPr>
          <w:rFonts w:ascii="Sylfaen" w:eastAsia="Times New Roman" w:hAnsi="Sylfaen" w:cs="Arial"/>
          <w:sz w:val="24"/>
          <w:szCs w:val="24"/>
          <w:shd w:val="clear" w:color="auto" w:fill="FFFFFF"/>
          <w:lang w:eastAsia="en-GB"/>
        </w:rPr>
      </w:pPr>
      <w:r w:rsidRPr="002E49F1">
        <w:rPr>
          <w:rFonts w:ascii="Sylfaen" w:eastAsia="Times New Roman" w:hAnsi="Sylfaen" w:cs="Arial"/>
          <w:sz w:val="24"/>
          <w:szCs w:val="24"/>
          <w:lang w:eastAsia="en-GB"/>
        </w:rPr>
        <w:t>Որոշակի հատկանիշների ցանկը կարող է տարբեր լինել տարբեր երկրներում, սակայն ՄԻԵԴ-ը չի պարտավորվում ներպետական նախադեպային իրավունքով և օրենսդրությամբ:</w:t>
      </w:r>
      <w:r w:rsidRPr="002E49F1">
        <w:rPr>
          <w:rFonts w:ascii="Sylfaen" w:eastAsia="Times New Roman" w:hAnsi="Sylfaen" w:cs="Arial"/>
          <w:sz w:val="24"/>
          <w:szCs w:val="24"/>
          <w:shd w:val="clear" w:color="auto" w:fill="FFFFFF"/>
          <w:lang w:eastAsia="en-GB"/>
        </w:rPr>
        <w:t xml:space="preserve">  Օրինակ`ԼԳԵՓ անձանց նկատմամբ ատելության հիմքով հանցագործությունների զոհերն իրենց իրավունքները վերականգնում են ՄԻԵԴ-ի միջոցով, երբ իրենց ներպետական օրենսդրությունները սեռական կողմնորոշումը չեն ընդունել որպես խտրականության արգելված հիմք: </w:t>
      </w:r>
    </w:p>
    <w:p w:rsidR="002E49F1" w:rsidRPr="002E49F1" w:rsidRDefault="002E49F1" w:rsidP="002E49F1">
      <w:pPr>
        <w:autoSpaceDE w:val="0"/>
        <w:autoSpaceDN w:val="0"/>
        <w:adjustRightInd w:val="0"/>
        <w:spacing w:after="0"/>
        <w:jc w:val="both"/>
        <w:rPr>
          <w:rFonts w:ascii="Sylfaen" w:eastAsia="Times New Roman" w:hAnsi="Sylfaen" w:cs="Arial"/>
          <w:color w:val="000000"/>
          <w:sz w:val="24"/>
          <w:szCs w:val="24"/>
          <w:lang w:eastAsia="en-GB"/>
        </w:rPr>
      </w:pPr>
      <w:r w:rsidRPr="002E49F1">
        <w:rPr>
          <w:rFonts w:ascii="Sylfaen" w:eastAsia="Times New Roman" w:hAnsi="Sylfaen" w:cs="Arial"/>
          <w:i/>
          <w:sz w:val="24"/>
          <w:szCs w:val="24"/>
          <w:lang w:eastAsia="en-GB"/>
        </w:rPr>
        <w:t xml:space="preserve">« «Ատելության հիմքով հանցագործությունը» կամ «կանխակալ հանցագործություն» եզրույթները, հետևաբար, ավելի շուտ նկարագրում են հանցագործության տեսակ, քան որոշակի հանցանք քրեական օրենսգրքի շրջանակներում:  Ատելության հիմքով հանցագործություն հնարավոր է իրականացնել մի երկրում, ուր չկա որոշակի քրեական պատժամիջոց կանխակալության կամ նախապաշարումների դեմ: Եզրույթն ավելի շուտ ներկայացնում է հասկացություն, քան տալիս իրավական սահմանում»: </w:t>
      </w:r>
    </w:p>
    <w:p w:rsidR="002E49F1" w:rsidRPr="002E49F1" w:rsidRDefault="002E49F1" w:rsidP="002E49F1">
      <w:pPr>
        <w:autoSpaceDE w:val="0"/>
        <w:autoSpaceDN w:val="0"/>
        <w:adjustRightInd w:val="0"/>
        <w:spacing w:after="0"/>
        <w:jc w:val="both"/>
        <w:rPr>
          <w:rFonts w:ascii="Sylfaen" w:eastAsia="Times New Roman" w:hAnsi="Sylfaen" w:cs="Arial"/>
          <w:sz w:val="24"/>
          <w:szCs w:val="24"/>
          <w:lang w:eastAsia="en-GB"/>
        </w:rPr>
      </w:pPr>
      <w:r w:rsidRPr="002E49F1">
        <w:rPr>
          <w:rFonts w:ascii="Sylfaen" w:eastAsia="Times New Roman" w:hAnsi="Sylfaen" w:cs="Arial"/>
          <w:color w:val="000000"/>
          <w:sz w:val="24"/>
          <w:szCs w:val="24"/>
          <w:lang w:eastAsia="en-GB"/>
        </w:rPr>
        <w:t>(տե´ս</w:t>
      </w:r>
      <w:proofErr w:type="gramStart"/>
      <w:r w:rsidRPr="002E49F1">
        <w:rPr>
          <w:rFonts w:ascii="Sylfaen" w:eastAsia="Times New Roman" w:hAnsi="Sylfaen" w:cs="Arial"/>
          <w:color w:val="000000"/>
          <w:sz w:val="24"/>
          <w:szCs w:val="24"/>
          <w:lang w:eastAsia="en-GB"/>
        </w:rPr>
        <w:t xml:space="preserve">,  </w:t>
      </w:r>
      <w:proofErr w:type="gramEnd"/>
      <w:r w:rsidRPr="002E49F1">
        <w:rPr>
          <w:rFonts w:ascii="Times New Roman" w:eastAsia="Times New Roman" w:hAnsi="Times New Roman" w:cs="Times New Roman"/>
          <w:sz w:val="24"/>
          <w:szCs w:val="24"/>
          <w:lang w:val="en-GB" w:eastAsia="en-GB"/>
        </w:rPr>
        <w:fldChar w:fldCharType="begin"/>
      </w:r>
      <w:r w:rsidRPr="002E49F1">
        <w:rPr>
          <w:rFonts w:ascii="Times New Roman" w:eastAsia="Times New Roman" w:hAnsi="Times New Roman" w:cs="Times New Roman"/>
          <w:sz w:val="24"/>
          <w:szCs w:val="24"/>
          <w:lang w:val="en-GB" w:eastAsia="en-GB"/>
        </w:rPr>
        <w:instrText xml:space="preserve"> HYPERLINK "http://www.osce.org/odihr/36426?download=true" </w:instrText>
      </w:r>
      <w:r w:rsidRPr="002E49F1">
        <w:rPr>
          <w:rFonts w:ascii="Times New Roman" w:eastAsia="Times New Roman" w:hAnsi="Times New Roman" w:cs="Times New Roman"/>
          <w:sz w:val="24"/>
          <w:szCs w:val="24"/>
          <w:lang w:val="en-GB" w:eastAsia="en-GB"/>
        </w:rPr>
        <w:fldChar w:fldCharType="separate"/>
      </w:r>
      <w:r w:rsidRPr="002E49F1">
        <w:rPr>
          <w:rFonts w:ascii="Sylfaen" w:eastAsia="Times New Roman" w:hAnsi="Sylfaen" w:cs="Arial"/>
          <w:color w:val="0000FF"/>
          <w:sz w:val="24"/>
          <w:szCs w:val="24"/>
          <w:u w:val="single"/>
          <w:lang w:eastAsia="en-GB"/>
        </w:rPr>
        <w:t>Hate Crime Laws: A Practical Guide</w:t>
      </w:r>
      <w:r w:rsidRPr="002E49F1">
        <w:rPr>
          <w:rFonts w:ascii="Sylfaen" w:eastAsia="Times New Roman" w:hAnsi="Sylfaen" w:cs="Arial"/>
          <w:color w:val="0000FF"/>
          <w:sz w:val="24"/>
          <w:szCs w:val="24"/>
          <w:u w:val="single"/>
          <w:lang w:eastAsia="en-GB"/>
        </w:rPr>
        <w:fldChar w:fldCharType="end"/>
      </w:r>
      <w:r w:rsidRPr="002E49F1">
        <w:rPr>
          <w:rFonts w:ascii="Sylfaen" w:eastAsia="Times New Roman" w:hAnsi="Sylfaen" w:cs="Times New Roman"/>
          <w:sz w:val="24"/>
          <w:szCs w:val="24"/>
          <w:lang w:val="en-GB" w:eastAsia="en-GB"/>
        </w:rPr>
        <w:t xml:space="preserve"> </w:t>
      </w:r>
      <w:r w:rsidRPr="002E49F1">
        <w:rPr>
          <w:rFonts w:ascii="Sylfaen" w:eastAsia="Times New Roman" w:hAnsi="Sylfaen" w:cs="Arial"/>
          <w:color w:val="000000"/>
          <w:sz w:val="24"/>
          <w:szCs w:val="24"/>
          <w:lang w:eastAsia="en-GB"/>
        </w:rPr>
        <w:t xml:space="preserve">Հրատարակվել է ԵԱՀԿ Ժողովրդավարական ինստիտուտների և մարդու իրավունքների գրասենյակի  </w:t>
      </w:r>
      <w:r w:rsidRPr="002E49F1">
        <w:rPr>
          <w:rFonts w:ascii="Sylfaen" w:eastAsia="Times New Roman" w:hAnsi="Sylfaen" w:cs="Arial"/>
          <w:sz w:val="24"/>
          <w:szCs w:val="24"/>
          <w:lang w:eastAsia="en-GB"/>
        </w:rPr>
        <w:t xml:space="preserve">(ԺԻՄԻԳ)  կողմից </w:t>
      </w:r>
      <w:hyperlink r:id="rId42" w:history="1">
        <w:r w:rsidRPr="002E49F1">
          <w:rPr>
            <w:rFonts w:ascii="Sylfaen" w:eastAsia="Times New Roman" w:hAnsi="Sylfaen" w:cs="Arial"/>
            <w:color w:val="0000FF"/>
            <w:sz w:val="24"/>
            <w:szCs w:val="24"/>
            <w:u w:val="single"/>
            <w:lang w:eastAsia="en-GB"/>
          </w:rPr>
          <w:t>www.osce.org/odihr</w:t>
        </w:r>
      </w:hyperlink>
      <w:r w:rsidRPr="002E49F1">
        <w:rPr>
          <w:rFonts w:ascii="Sylfaen" w:eastAsia="Times New Roman" w:hAnsi="Sylfaen" w:cs="Arial"/>
          <w:sz w:val="24"/>
          <w:szCs w:val="24"/>
          <w:lang w:eastAsia="en-GB"/>
        </w:rPr>
        <w:t>)</w:t>
      </w:r>
    </w:p>
    <w:p w:rsidR="002E49F1" w:rsidRPr="002E49F1" w:rsidRDefault="002E49F1" w:rsidP="002E49F1">
      <w:pPr>
        <w:autoSpaceDE w:val="0"/>
        <w:autoSpaceDN w:val="0"/>
        <w:adjustRightInd w:val="0"/>
        <w:spacing w:after="0"/>
        <w:jc w:val="both"/>
        <w:rPr>
          <w:rFonts w:ascii="Sylfaen" w:eastAsia="Times New Roman" w:hAnsi="Sylfaen" w:cs="Arial"/>
          <w:sz w:val="24"/>
          <w:szCs w:val="24"/>
          <w:lang w:eastAsia="en-GB"/>
        </w:rPr>
      </w:pPr>
    </w:p>
    <w:p w:rsidR="002E49F1" w:rsidRPr="002E49F1" w:rsidRDefault="005210E5" w:rsidP="002E49F1">
      <w:pPr>
        <w:autoSpaceDE w:val="0"/>
        <w:autoSpaceDN w:val="0"/>
        <w:adjustRightInd w:val="0"/>
        <w:spacing w:after="0"/>
        <w:jc w:val="both"/>
        <w:rPr>
          <w:rFonts w:ascii="Sylfaen" w:eastAsia="Times New Roman" w:hAnsi="Sylfaen" w:cs="Arial"/>
          <w:sz w:val="24"/>
          <w:szCs w:val="24"/>
          <w:lang w:eastAsia="en-GB"/>
        </w:rPr>
      </w:pPr>
      <w:hyperlink r:id="rId43" w:history="1">
        <w:r w:rsidR="002E49F1" w:rsidRPr="002E49F1">
          <w:rPr>
            <w:rFonts w:ascii="Sylfaen" w:eastAsia="Times New Roman" w:hAnsi="Sylfaen" w:cs="Arial"/>
            <w:color w:val="0000FF"/>
            <w:sz w:val="24"/>
            <w:szCs w:val="24"/>
            <w:u w:val="single"/>
            <w:lang w:eastAsia="en-GB"/>
          </w:rPr>
          <w:t>Հայաստանի Հանրապետության Քրեական օրենսգիրքը</w:t>
        </w:r>
      </w:hyperlink>
      <w:r w:rsidR="002E49F1" w:rsidRPr="002E49F1">
        <w:rPr>
          <w:rFonts w:ascii="Sylfaen" w:eastAsia="Times New Roman" w:hAnsi="Sylfaen" w:cs="Arial"/>
          <w:sz w:val="24"/>
          <w:szCs w:val="24"/>
          <w:lang w:eastAsia="en-GB"/>
        </w:rPr>
        <w:t xml:space="preserve"> ատելության քարոզումը քրեականացնում է 226-րդ հոդվածով, որը ներառում է ազգային, ռասայական կամ </w:t>
      </w:r>
      <w:r w:rsidR="002E49F1" w:rsidRPr="00B9290A">
        <w:rPr>
          <w:rFonts w:ascii="Sylfaen" w:eastAsia="Times New Roman" w:hAnsi="Sylfaen" w:cs="Arial"/>
          <w:sz w:val="24"/>
          <w:szCs w:val="24"/>
          <w:highlight w:val="green"/>
          <w:lang w:eastAsia="en-GB"/>
        </w:rPr>
        <w:t>կրոնական</w:t>
      </w:r>
      <w:r w:rsidR="002E49F1" w:rsidRPr="002E49F1">
        <w:rPr>
          <w:rFonts w:ascii="Sylfaen" w:eastAsia="Times New Roman" w:hAnsi="Sylfaen" w:cs="Arial"/>
          <w:sz w:val="24"/>
          <w:szCs w:val="24"/>
          <w:lang w:eastAsia="en-GB"/>
        </w:rPr>
        <w:t xml:space="preserve"> թշնամանք հարուցելուն, ռասայական գերազանցությանը կամ ազգային արժանապատվությունը նվաստացնելուն ուղղված գործողություններ, որոնց համար օրենսգիրքը սահմանում է </w:t>
      </w:r>
      <w:r w:rsidR="002E49F1" w:rsidRPr="002E49F1">
        <w:rPr>
          <w:rFonts w:ascii="Sylfaen" w:eastAsia="Times New Roman" w:hAnsi="Sylfaen" w:cs="Arial"/>
          <w:sz w:val="24"/>
          <w:szCs w:val="24"/>
          <w:lang w:val="ru-RU" w:eastAsia="en-GB"/>
        </w:rPr>
        <w:t>տուգանք՝</w:t>
      </w:r>
      <w:r w:rsidR="002E49F1" w:rsidRPr="002E49F1">
        <w:rPr>
          <w:rFonts w:ascii="Sylfaen" w:eastAsia="Times New Roman" w:hAnsi="Sylfaen" w:cs="Arial"/>
          <w:sz w:val="24"/>
          <w:szCs w:val="24"/>
          <w:lang w:eastAsia="en-GB"/>
        </w:rPr>
        <w:t xml:space="preserve"> </w:t>
      </w:r>
      <w:r w:rsidR="002E49F1" w:rsidRPr="002E49F1">
        <w:rPr>
          <w:rFonts w:ascii="Sylfaen" w:eastAsia="Times New Roman" w:hAnsi="Sylfaen" w:cs="Arial"/>
          <w:sz w:val="24"/>
          <w:szCs w:val="24"/>
          <w:lang w:val="ru-RU" w:eastAsia="en-GB"/>
        </w:rPr>
        <w:t>նվազագույն</w:t>
      </w:r>
      <w:r w:rsidR="002E49F1" w:rsidRPr="002E49F1">
        <w:rPr>
          <w:rFonts w:ascii="Sylfaen" w:eastAsia="Times New Roman" w:hAnsi="Sylfaen" w:cs="Arial"/>
          <w:sz w:val="24"/>
          <w:szCs w:val="24"/>
          <w:lang w:eastAsia="en-GB"/>
        </w:rPr>
        <w:t xml:space="preserve"> </w:t>
      </w:r>
      <w:r w:rsidR="002E49F1" w:rsidRPr="002E49F1">
        <w:rPr>
          <w:rFonts w:ascii="Sylfaen" w:eastAsia="Times New Roman" w:hAnsi="Sylfaen" w:cs="Arial"/>
          <w:sz w:val="24"/>
          <w:szCs w:val="24"/>
          <w:lang w:val="ru-RU" w:eastAsia="en-GB"/>
        </w:rPr>
        <w:t>աշխատավարձի</w:t>
      </w:r>
      <w:r w:rsidR="002E49F1" w:rsidRPr="002E49F1">
        <w:rPr>
          <w:rFonts w:ascii="Sylfaen" w:eastAsia="Times New Roman" w:hAnsi="Sylfaen" w:cs="Arial"/>
          <w:sz w:val="24"/>
          <w:szCs w:val="24"/>
          <w:lang w:eastAsia="en-GB"/>
        </w:rPr>
        <w:t xml:space="preserve"> </w:t>
      </w:r>
      <w:r w:rsidR="002E49F1" w:rsidRPr="002E49F1">
        <w:rPr>
          <w:rFonts w:ascii="Sylfaen" w:eastAsia="Times New Roman" w:hAnsi="Sylfaen" w:cs="Arial"/>
          <w:sz w:val="24"/>
          <w:szCs w:val="24"/>
          <w:lang w:val="ru-RU" w:eastAsia="en-GB"/>
        </w:rPr>
        <w:t>երկուհարյուրապատիկից</w:t>
      </w:r>
      <w:r w:rsidR="002E49F1" w:rsidRPr="002E49F1">
        <w:rPr>
          <w:rFonts w:ascii="Sylfaen" w:eastAsia="Times New Roman" w:hAnsi="Sylfaen" w:cs="Arial"/>
          <w:sz w:val="24"/>
          <w:szCs w:val="24"/>
          <w:lang w:eastAsia="en-GB"/>
        </w:rPr>
        <w:t xml:space="preserve"> </w:t>
      </w:r>
      <w:r w:rsidR="002E49F1" w:rsidRPr="002E49F1">
        <w:rPr>
          <w:rFonts w:ascii="Sylfaen" w:eastAsia="Times New Roman" w:hAnsi="Sylfaen" w:cs="Arial"/>
          <w:sz w:val="24"/>
          <w:szCs w:val="24"/>
          <w:lang w:val="ru-RU" w:eastAsia="en-GB"/>
        </w:rPr>
        <w:t>հինգհարյուրապատիկի</w:t>
      </w:r>
      <w:r w:rsidR="002E49F1" w:rsidRPr="002E49F1">
        <w:rPr>
          <w:rFonts w:ascii="Sylfaen" w:eastAsia="Times New Roman" w:hAnsi="Sylfaen" w:cs="Arial"/>
          <w:sz w:val="24"/>
          <w:szCs w:val="24"/>
          <w:lang w:eastAsia="en-GB"/>
        </w:rPr>
        <w:t xml:space="preserve"> </w:t>
      </w:r>
      <w:r w:rsidR="002E49F1" w:rsidRPr="002E49F1">
        <w:rPr>
          <w:rFonts w:ascii="Sylfaen" w:eastAsia="Times New Roman" w:hAnsi="Sylfaen" w:cs="Arial"/>
          <w:sz w:val="24"/>
          <w:szCs w:val="24"/>
          <w:lang w:val="ru-RU" w:eastAsia="en-GB"/>
        </w:rPr>
        <w:t>չափով</w:t>
      </w:r>
      <w:r w:rsidR="002E49F1" w:rsidRPr="002E49F1">
        <w:rPr>
          <w:rFonts w:ascii="Sylfaen" w:eastAsia="Times New Roman" w:hAnsi="Sylfaen" w:cs="Arial"/>
          <w:sz w:val="24"/>
          <w:szCs w:val="24"/>
          <w:lang w:eastAsia="en-GB"/>
        </w:rPr>
        <w:t xml:space="preserve">, </w:t>
      </w:r>
      <w:r w:rsidR="002E49F1" w:rsidRPr="002E49F1">
        <w:rPr>
          <w:rFonts w:ascii="Sylfaen" w:eastAsia="Times New Roman" w:hAnsi="Sylfaen" w:cs="Arial"/>
          <w:sz w:val="24"/>
          <w:szCs w:val="24"/>
          <w:lang w:val="ru-RU" w:eastAsia="en-GB"/>
        </w:rPr>
        <w:t>կամ</w:t>
      </w:r>
      <w:r w:rsidR="002E49F1" w:rsidRPr="002E49F1">
        <w:rPr>
          <w:rFonts w:ascii="Sylfaen" w:eastAsia="Times New Roman" w:hAnsi="Sylfaen" w:cs="Arial"/>
          <w:sz w:val="24"/>
          <w:szCs w:val="24"/>
          <w:lang w:eastAsia="en-GB"/>
        </w:rPr>
        <w:t xml:space="preserve"> </w:t>
      </w:r>
      <w:r w:rsidR="002E49F1" w:rsidRPr="002E49F1">
        <w:rPr>
          <w:rFonts w:ascii="Sylfaen" w:eastAsia="Times New Roman" w:hAnsi="Sylfaen" w:cs="Arial"/>
          <w:sz w:val="24"/>
          <w:szCs w:val="24"/>
          <w:lang w:val="ru-RU" w:eastAsia="en-GB"/>
        </w:rPr>
        <w:t>ազատազրկմամբ՝</w:t>
      </w:r>
      <w:r w:rsidR="002E49F1" w:rsidRPr="002E49F1">
        <w:rPr>
          <w:rFonts w:ascii="Sylfaen" w:eastAsia="Times New Roman" w:hAnsi="Sylfaen" w:cs="Arial"/>
          <w:sz w:val="24"/>
          <w:szCs w:val="24"/>
          <w:lang w:eastAsia="en-GB"/>
        </w:rPr>
        <w:t xml:space="preserve"> </w:t>
      </w:r>
      <w:r w:rsidR="002E49F1" w:rsidRPr="002E49F1">
        <w:rPr>
          <w:rFonts w:ascii="Sylfaen" w:eastAsia="Times New Roman" w:hAnsi="Sylfaen" w:cs="Arial"/>
          <w:sz w:val="24"/>
          <w:szCs w:val="24"/>
          <w:lang w:val="ru-RU" w:eastAsia="en-GB"/>
        </w:rPr>
        <w:t>երկուսից</w:t>
      </w:r>
      <w:r w:rsidR="002E49F1" w:rsidRPr="002E49F1">
        <w:rPr>
          <w:rFonts w:ascii="Sylfaen" w:eastAsia="Times New Roman" w:hAnsi="Sylfaen" w:cs="Arial"/>
          <w:sz w:val="24"/>
          <w:szCs w:val="24"/>
          <w:lang w:eastAsia="en-GB"/>
        </w:rPr>
        <w:t xml:space="preserve"> </w:t>
      </w:r>
      <w:r w:rsidR="002E49F1" w:rsidRPr="002E49F1">
        <w:rPr>
          <w:rFonts w:ascii="Sylfaen" w:eastAsia="Times New Roman" w:hAnsi="Sylfaen" w:cs="Arial"/>
          <w:sz w:val="24"/>
          <w:szCs w:val="24"/>
          <w:lang w:val="ru-RU" w:eastAsia="en-GB"/>
        </w:rPr>
        <w:t>չորս</w:t>
      </w:r>
      <w:r w:rsidR="002E49F1" w:rsidRPr="002E49F1">
        <w:rPr>
          <w:rFonts w:ascii="Sylfaen" w:eastAsia="Times New Roman" w:hAnsi="Sylfaen" w:cs="Arial"/>
          <w:sz w:val="24"/>
          <w:szCs w:val="24"/>
          <w:lang w:eastAsia="en-GB"/>
        </w:rPr>
        <w:t xml:space="preserve"> </w:t>
      </w:r>
      <w:r w:rsidR="002E49F1" w:rsidRPr="002E49F1">
        <w:rPr>
          <w:rFonts w:ascii="Sylfaen" w:eastAsia="Times New Roman" w:hAnsi="Sylfaen" w:cs="Arial"/>
          <w:sz w:val="24"/>
          <w:szCs w:val="24"/>
          <w:lang w:val="ru-RU" w:eastAsia="en-GB"/>
        </w:rPr>
        <w:t>տարի</w:t>
      </w:r>
      <w:r w:rsidR="002E49F1" w:rsidRPr="002E49F1">
        <w:rPr>
          <w:rFonts w:ascii="Sylfaen" w:eastAsia="Times New Roman" w:hAnsi="Sylfaen" w:cs="Arial"/>
          <w:sz w:val="24"/>
          <w:szCs w:val="24"/>
          <w:lang w:eastAsia="en-GB"/>
        </w:rPr>
        <w:t xml:space="preserve"> </w:t>
      </w:r>
      <w:r w:rsidR="002E49F1" w:rsidRPr="002E49F1">
        <w:rPr>
          <w:rFonts w:ascii="Sylfaen" w:eastAsia="Times New Roman" w:hAnsi="Sylfaen" w:cs="Arial"/>
          <w:sz w:val="24"/>
          <w:szCs w:val="24"/>
          <w:lang w:val="ru-RU" w:eastAsia="en-GB"/>
        </w:rPr>
        <w:t>ժամկետով</w:t>
      </w:r>
      <w:r w:rsidR="002E49F1" w:rsidRPr="002E49F1">
        <w:rPr>
          <w:rFonts w:ascii="Sylfaen" w:eastAsia="Times New Roman" w:hAnsi="Sylfaen" w:cs="Arial"/>
          <w:sz w:val="24"/>
          <w:szCs w:val="24"/>
          <w:lang w:eastAsia="en-GB"/>
        </w:rPr>
        <w:t xml:space="preserve">: Իսկ եթե նույն գործողությունները ուղեկցվել են </w:t>
      </w:r>
      <w:r w:rsidR="002E49F1" w:rsidRPr="00B9290A">
        <w:rPr>
          <w:rFonts w:ascii="Sylfaen" w:eastAsia="Times New Roman" w:hAnsi="Sylfaen" w:cs="Arial"/>
          <w:sz w:val="24"/>
          <w:szCs w:val="24"/>
          <w:highlight w:val="yellow"/>
          <w:lang w:eastAsia="en-GB"/>
        </w:rPr>
        <w:t>հրապարակայնորեն կամ լրատվական</w:t>
      </w:r>
      <w:r w:rsidR="002E49F1" w:rsidRPr="002E49F1">
        <w:rPr>
          <w:rFonts w:ascii="Sylfaen" w:eastAsia="Times New Roman" w:hAnsi="Sylfaen" w:cs="Arial"/>
          <w:sz w:val="24"/>
          <w:szCs w:val="24"/>
          <w:lang w:eastAsia="en-GB"/>
        </w:rPr>
        <w:t xml:space="preserve"> միջոցների օգտագործումով, բռնություն գործադրելով կամ դրա գործադրման սպառնալիքով կամ պաշտոնական դիրքի չարաշահումով, ինչպես նաև կազմակերպված խմբի կողմից, պատժվում է </w:t>
      </w:r>
      <w:r w:rsidR="002E49F1" w:rsidRPr="002E49F1">
        <w:rPr>
          <w:rFonts w:ascii="Sylfaen" w:eastAsia="Times New Roman" w:hAnsi="Sylfaen" w:cs="Arial"/>
          <w:sz w:val="24"/>
          <w:szCs w:val="24"/>
          <w:lang w:eastAsia="en-GB"/>
        </w:rPr>
        <w:lastRenderedPageBreak/>
        <w:t xml:space="preserve">ազատազրկմամբ </w:t>
      </w:r>
      <w:r w:rsidR="002E49F1" w:rsidRPr="002E49F1">
        <w:rPr>
          <w:rFonts w:ascii="Sylfaen" w:eastAsia="Times New Roman" w:hAnsi="Sylfaen" w:cs="Arial"/>
          <w:sz w:val="24"/>
          <w:szCs w:val="24"/>
          <w:lang w:val="ru-RU" w:eastAsia="en-GB"/>
        </w:rPr>
        <w:t>երեքից</w:t>
      </w:r>
      <w:r w:rsidR="002E49F1" w:rsidRPr="002E49F1">
        <w:rPr>
          <w:rFonts w:ascii="Sylfaen" w:eastAsia="Times New Roman" w:hAnsi="Sylfaen" w:cs="Arial"/>
          <w:sz w:val="24"/>
          <w:szCs w:val="24"/>
          <w:lang w:eastAsia="en-GB"/>
        </w:rPr>
        <w:t xml:space="preserve"> </w:t>
      </w:r>
      <w:r w:rsidR="002E49F1" w:rsidRPr="002E49F1">
        <w:rPr>
          <w:rFonts w:ascii="Sylfaen" w:eastAsia="Times New Roman" w:hAnsi="Sylfaen" w:cs="Arial"/>
          <w:sz w:val="24"/>
          <w:szCs w:val="24"/>
          <w:lang w:val="ru-RU" w:eastAsia="en-GB"/>
        </w:rPr>
        <w:t>վեց</w:t>
      </w:r>
      <w:r w:rsidR="002E49F1" w:rsidRPr="002E49F1">
        <w:rPr>
          <w:rFonts w:ascii="Sylfaen" w:eastAsia="Times New Roman" w:hAnsi="Sylfaen" w:cs="Arial"/>
          <w:sz w:val="24"/>
          <w:szCs w:val="24"/>
          <w:lang w:eastAsia="en-GB"/>
        </w:rPr>
        <w:t xml:space="preserve"> </w:t>
      </w:r>
      <w:r w:rsidR="002E49F1" w:rsidRPr="002E49F1">
        <w:rPr>
          <w:rFonts w:ascii="Sylfaen" w:eastAsia="Times New Roman" w:hAnsi="Sylfaen" w:cs="Arial"/>
          <w:sz w:val="24"/>
          <w:szCs w:val="24"/>
          <w:lang w:val="ru-RU" w:eastAsia="en-GB"/>
        </w:rPr>
        <w:t>տարի</w:t>
      </w:r>
      <w:r w:rsidR="002E49F1" w:rsidRPr="002E49F1">
        <w:rPr>
          <w:rFonts w:ascii="Sylfaen" w:eastAsia="Times New Roman" w:hAnsi="Sylfaen" w:cs="Arial"/>
          <w:sz w:val="24"/>
          <w:szCs w:val="24"/>
          <w:lang w:eastAsia="en-GB"/>
        </w:rPr>
        <w:t xml:space="preserve"> </w:t>
      </w:r>
      <w:r w:rsidR="002E49F1" w:rsidRPr="002E49F1">
        <w:rPr>
          <w:rFonts w:ascii="Sylfaen" w:eastAsia="Times New Roman" w:hAnsi="Sylfaen" w:cs="Arial"/>
          <w:sz w:val="24"/>
          <w:szCs w:val="24"/>
          <w:lang w:val="ru-RU" w:eastAsia="en-GB"/>
        </w:rPr>
        <w:t>ժամկետով։</w:t>
      </w:r>
      <w:r w:rsidR="002E49F1" w:rsidRPr="002E49F1">
        <w:rPr>
          <w:rFonts w:ascii="Sylfaen" w:eastAsia="Times New Roman" w:hAnsi="Sylfaen" w:cs="Arial"/>
          <w:sz w:val="24"/>
          <w:szCs w:val="24"/>
          <w:lang w:eastAsia="en-GB"/>
        </w:rPr>
        <w:t xml:space="preserve"> </w:t>
      </w:r>
      <w:r w:rsidR="002E49F1" w:rsidRPr="002E49F1">
        <w:rPr>
          <w:rFonts w:ascii="Sylfaen" w:eastAsia="Times New Roman" w:hAnsi="Sylfaen" w:cs="Arial"/>
          <w:sz w:val="24"/>
          <w:szCs w:val="24"/>
          <w:lang w:val="ru-RU" w:eastAsia="en-GB"/>
        </w:rPr>
        <w:t>Բացի</w:t>
      </w:r>
      <w:r w:rsidR="002E49F1" w:rsidRPr="002E49F1">
        <w:rPr>
          <w:rFonts w:ascii="Sylfaen" w:eastAsia="Times New Roman" w:hAnsi="Sylfaen" w:cs="Arial"/>
          <w:sz w:val="24"/>
          <w:szCs w:val="24"/>
          <w:lang w:eastAsia="en-GB"/>
        </w:rPr>
        <w:t xml:space="preserve"> </w:t>
      </w:r>
      <w:r w:rsidR="002E49F1" w:rsidRPr="002E49F1">
        <w:rPr>
          <w:rFonts w:ascii="Sylfaen" w:eastAsia="Times New Roman" w:hAnsi="Sylfaen" w:cs="Arial"/>
          <w:sz w:val="24"/>
          <w:szCs w:val="24"/>
          <w:lang w:val="ru-RU" w:eastAsia="en-GB"/>
        </w:rPr>
        <w:t>այդ</w:t>
      </w:r>
      <w:r w:rsidR="002E49F1" w:rsidRPr="002E49F1">
        <w:rPr>
          <w:rFonts w:ascii="Sylfaen" w:eastAsia="Times New Roman" w:hAnsi="Sylfaen" w:cs="Arial"/>
          <w:sz w:val="24"/>
          <w:szCs w:val="24"/>
          <w:lang w:eastAsia="en-GB"/>
        </w:rPr>
        <w:t xml:space="preserve">, </w:t>
      </w:r>
      <w:r w:rsidR="002E49F1" w:rsidRPr="002E49F1">
        <w:rPr>
          <w:rFonts w:ascii="Sylfaen" w:eastAsia="Times New Roman" w:hAnsi="Sylfaen" w:cs="Arial"/>
          <w:sz w:val="24"/>
          <w:szCs w:val="24"/>
          <w:lang w:val="ru-RU" w:eastAsia="en-GB"/>
        </w:rPr>
        <w:t>բազմաթիվ</w:t>
      </w:r>
      <w:r w:rsidR="002E49F1" w:rsidRPr="002E49F1">
        <w:rPr>
          <w:rFonts w:ascii="Sylfaen" w:eastAsia="Times New Roman" w:hAnsi="Sylfaen" w:cs="Arial"/>
          <w:sz w:val="24"/>
          <w:szCs w:val="24"/>
          <w:lang w:eastAsia="en-GB"/>
        </w:rPr>
        <w:t xml:space="preserve"> այլ </w:t>
      </w:r>
      <w:r w:rsidR="002E49F1" w:rsidRPr="002E49F1">
        <w:rPr>
          <w:rFonts w:ascii="Sylfaen" w:eastAsia="Times New Roman" w:hAnsi="Sylfaen" w:cs="Arial"/>
          <w:sz w:val="24"/>
          <w:szCs w:val="24"/>
          <w:lang w:val="ru-RU" w:eastAsia="en-GB"/>
        </w:rPr>
        <w:t>հանցագործությունների</w:t>
      </w:r>
      <w:r w:rsidR="002E49F1" w:rsidRPr="002E49F1">
        <w:rPr>
          <w:rFonts w:ascii="Sylfaen" w:eastAsia="Times New Roman" w:hAnsi="Sylfaen" w:cs="Arial"/>
          <w:sz w:val="24"/>
          <w:szCs w:val="24"/>
          <w:lang w:eastAsia="en-GB"/>
        </w:rPr>
        <w:t xml:space="preserve"> </w:t>
      </w:r>
      <w:r w:rsidR="002E49F1" w:rsidRPr="002E49F1">
        <w:rPr>
          <w:rFonts w:ascii="Sylfaen" w:eastAsia="Times New Roman" w:hAnsi="Sylfaen" w:cs="Arial"/>
          <w:sz w:val="24"/>
          <w:szCs w:val="24"/>
          <w:lang w:val="ru-RU" w:eastAsia="en-GB"/>
        </w:rPr>
        <w:t>համար</w:t>
      </w:r>
      <w:r w:rsidR="002E49F1" w:rsidRPr="002E49F1">
        <w:rPr>
          <w:rFonts w:ascii="Sylfaen" w:eastAsia="Times New Roman" w:hAnsi="Sylfaen" w:cs="Arial"/>
          <w:sz w:val="24"/>
          <w:szCs w:val="24"/>
          <w:lang w:eastAsia="en-GB"/>
        </w:rPr>
        <w:t xml:space="preserve"> </w:t>
      </w:r>
      <w:r w:rsidR="002E49F1" w:rsidRPr="002E49F1">
        <w:rPr>
          <w:rFonts w:ascii="Sylfaen" w:eastAsia="Times New Roman" w:hAnsi="Sylfaen" w:cs="Arial"/>
          <w:sz w:val="24"/>
          <w:szCs w:val="24"/>
          <w:lang w:val="ru-RU" w:eastAsia="en-GB"/>
        </w:rPr>
        <w:t>նշված</w:t>
      </w:r>
      <w:r w:rsidR="002E49F1" w:rsidRPr="002E49F1">
        <w:rPr>
          <w:rFonts w:ascii="Sylfaen" w:eastAsia="Times New Roman" w:hAnsi="Sylfaen" w:cs="Arial"/>
          <w:sz w:val="24"/>
          <w:szCs w:val="24"/>
          <w:lang w:eastAsia="en-GB"/>
        </w:rPr>
        <w:t xml:space="preserve"> </w:t>
      </w:r>
      <w:r w:rsidR="002E49F1" w:rsidRPr="002E49F1">
        <w:rPr>
          <w:rFonts w:ascii="Sylfaen" w:eastAsia="Times New Roman" w:hAnsi="Sylfaen" w:cs="Arial"/>
          <w:sz w:val="24"/>
          <w:szCs w:val="24"/>
          <w:lang w:val="ru-RU" w:eastAsia="en-GB"/>
        </w:rPr>
        <w:t>հիմքեր</w:t>
      </w:r>
      <w:r w:rsidR="002E49F1" w:rsidRPr="002E49F1">
        <w:rPr>
          <w:rFonts w:ascii="Sylfaen" w:eastAsia="Times New Roman" w:hAnsi="Sylfaen" w:cs="Arial"/>
          <w:sz w:val="24"/>
          <w:szCs w:val="24"/>
          <w:lang w:eastAsia="en-GB"/>
        </w:rPr>
        <w:t xml:space="preserve">ի զուգորդումը </w:t>
      </w:r>
      <w:r w:rsidR="002E49F1" w:rsidRPr="002E49F1">
        <w:rPr>
          <w:rFonts w:ascii="Sylfaen" w:eastAsia="Times New Roman" w:hAnsi="Sylfaen" w:cs="Arial"/>
          <w:sz w:val="24"/>
          <w:szCs w:val="24"/>
          <w:lang w:val="ru-RU" w:eastAsia="en-GB"/>
        </w:rPr>
        <w:t>ծանրացնող</w:t>
      </w:r>
      <w:r w:rsidR="002E49F1" w:rsidRPr="002E49F1">
        <w:rPr>
          <w:rFonts w:ascii="Sylfaen" w:eastAsia="Times New Roman" w:hAnsi="Sylfaen" w:cs="Arial"/>
          <w:sz w:val="24"/>
          <w:szCs w:val="24"/>
          <w:lang w:eastAsia="en-GB"/>
        </w:rPr>
        <w:t xml:space="preserve"> </w:t>
      </w:r>
      <w:r w:rsidR="002E49F1" w:rsidRPr="002E49F1">
        <w:rPr>
          <w:rFonts w:ascii="Sylfaen" w:eastAsia="Times New Roman" w:hAnsi="Sylfaen" w:cs="Arial"/>
          <w:sz w:val="24"/>
          <w:szCs w:val="24"/>
          <w:lang w:val="ru-RU" w:eastAsia="en-GB"/>
        </w:rPr>
        <w:t>հան</w:t>
      </w:r>
      <w:r w:rsidR="002E49F1" w:rsidRPr="002E49F1">
        <w:rPr>
          <w:rFonts w:ascii="Sylfaen" w:eastAsia="Times New Roman" w:hAnsi="Sylfaen" w:cs="Arial"/>
          <w:sz w:val="24"/>
          <w:szCs w:val="24"/>
          <w:lang w:eastAsia="en-GB"/>
        </w:rPr>
        <w:t xml:space="preserve">գամանք է։ Օրինակ, եթե սպանությունը կատարվել է </w:t>
      </w:r>
      <w:r w:rsidR="002E49F1" w:rsidRPr="002E49F1">
        <w:rPr>
          <w:rFonts w:ascii="Sylfaen" w:eastAsia="Times New Roman" w:hAnsi="Sylfaen" w:cs="Arial"/>
          <w:sz w:val="24"/>
          <w:szCs w:val="24"/>
          <w:lang w:val="ru-RU" w:eastAsia="en-GB"/>
        </w:rPr>
        <w:t>ազգային</w:t>
      </w:r>
      <w:r w:rsidR="002E49F1" w:rsidRPr="002E49F1">
        <w:rPr>
          <w:rFonts w:ascii="Sylfaen" w:eastAsia="Times New Roman" w:hAnsi="Sylfaen" w:cs="Arial"/>
          <w:sz w:val="24"/>
          <w:szCs w:val="24"/>
          <w:lang w:eastAsia="en-GB"/>
        </w:rPr>
        <w:t xml:space="preserve">, </w:t>
      </w:r>
      <w:r w:rsidR="002E49F1" w:rsidRPr="002E49F1">
        <w:rPr>
          <w:rFonts w:ascii="Sylfaen" w:eastAsia="Times New Roman" w:hAnsi="Sylfaen" w:cs="Arial"/>
          <w:sz w:val="24"/>
          <w:szCs w:val="24"/>
          <w:lang w:val="ru-RU" w:eastAsia="en-GB"/>
        </w:rPr>
        <w:t>ռասայական</w:t>
      </w:r>
      <w:r w:rsidR="002E49F1" w:rsidRPr="002E49F1">
        <w:rPr>
          <w:rFonts w:ascii="Sylfaen" w:eastAsia="Times New Roman" w:hAnsi="Sylfaen" w:cs="Arial"/>
          <w:sz w:val="24"/>
          <w:szCs w:val="24"/>
          <w:lang w:eastAsia="en-GB"/>
        </w:rPr>
        <w:t xml:space="preserve"> </w:t>
      </w:r>
      <w:r w:rsidR="002E49F1" w:rsidRPr="002E49F1">
        <w:rPr>
          <w:rFonts w:ascii="Sylfaen" w:eastAsia="Times New Roman" w:hAnsi="Sylfaen" w:cs="Arial"/>
          <w:sz w:val="24"/>
          <w:szCs w:val="24"/>
          <w:lang w:val="ru-RU" w:eastAsia="en-GB"/>
        </w:rPr>
        <w:t>կամ</w:t>
      </w:r>
      <w:r w:rsidR="002E49F1" w:rsidRPr="002E49F1">
        <w:rPr>
          <w:rFonts w:ascii="Sylfaen" w:eastAsia="Times New Roman" w:hAnsi="Sylfaen" w:cs="Arial"/>
          <w:sz w:val="24"/>
          <w:szCs w:val="24"/>
          <w:lang w:eastAsia="en-GB"/>
        </w:rPr>
        <w:t xml:space="preserve"> </w:t>
      </w:r>
      <w:r w:rsidR="002E49F1" w:rsidRPr="002E49F1">
        <w:rPr>
          <w:rFonts w:ascii="Sylfaen" w:eastAsia="Times New Roman" w:hAnsi="Sylfaen" w:cs="Arial"/>
          <w:sz w:val="24"/>
          <w:szCs w:val="24"/>
          <w:lang w:val="ru-RU" w:eastAsia="en-GB"/>
        </w:rPr>
        <w:t>կրոնական</w:t>
      </w:r>
      <w:r w:rsidR="002E49F1" w:rsidRPr="002E49F1">
        <w:rPr>
          <w:rFonts w:ascii="Sylfaen" w:eastAsia="Times New Roman" w:hAnsi="Sylfaen" w:cs="Arial"/>
          <w:sz w:val="24"/>
          <w:szCs w:val="24"/>
          <w:lang w:eastAsia="en-GB"/>
        </w:rPr>
        <w:t xml:space="preserve"> </w:t>
      </w:r>
      <w:r w:rsidR="002E49F1" w:rsidRPr="002E49F1">
        <w:rPr>
          <w:rFonts w:ascii="Sylfaen" w:eastAsia="Times New Roman" w:hAnsi="Sylfaen" w:cs="Arial"/>
          <w:sz w:val="24"/>
          <w:szCs w:val="24"/>
          <w:lang w:val="ru-RU" w:eastAsia="en-GB"/>
        </w:rPr>
        <w:t>ատելության</w:t>
      </w:r>
      <w:r w:rsidR="002E49F1" w:rsidRPr="002E49F1">
        <w:rPr>
          <w:rFonts w:ascii="Sylfaen" w:eastAsia="Times New Roman" w:hAnsi="Sylfaen" w:cs="Arial"/>
          <w:sz w:val="24"/>
          <w:szCs w:val="24"/>
          <w:lang w:eastAsia="en-GB"/>
        </w:rPr>
        <w:t xml:space="preserve"> </w:t>
      </w:r>
      <w:r w:rsidR="002E49F1" w:rsidRPr="002E49F1">
        <w:rPr>
          <w:rFonts w:ascii="Sylfaen" w:eastAsia="Times New Roman" w:hAnsi="Sylfaen" w:cs="Arial"/>
          <w:sz w:val="24"/>
          <w:szCs w:val="24"/>
          <w:lang w:val="ru-RU" w:eastAsia="en-GB"/>
        </w:rPr>
        <w:t>կամ</w:t>
      </w:r>
      <w:r w:rsidR="002E49F1" w:rsidRPr="002E49F1">
        <w:rPr>
          <w:rFonts w:ascii="Sylfaen" w:eastAsia="Times New Roman" w:hAnsi="Sylfaen" w:cs="Arial"/>
          <w:sz w:val="24"/>
          <w:szCs w:val="24"/>
          <w:lang w:eastAsia="en-GB"/>
        </w:rPr>
        <w:t xml:space="preserve"> </w:t>
      </w:r>
      <w:r w:rsidR="002E49F1" w:rsidRPr="002E49F1">
        <w:rPr>
          <w:rFonts w:ascii="Sylfaen" w:eastAsia="Times New Roman" w:hAnsi="Sylfaen" w:cs="Arial"/>
          <w:sz w:val="24"/>
          <w:szCs w:val="24"/>
          <w:lang w:val="ru-RU" w:eastAsia="en-GB"/>
        </w:rPr>
        <w:t>կրոնական</w:t>
      </w:r>
      <w:r w:rsidR="002E49F1" w:rsidRPr="002E49F1">
        <w:rPr>
          <w:rFonts w:ascii="Sylfaen" w:eastAsia="Times New Roman" w:hAnsi="Sylfaen" w:cs="Arial"/>
          <w:sz w:val="24"/>
          <w:szCs w:val="24"/>
          <w:lang w:eastAsia="en-GB"/>
        </w:rPr>
        <w:t xml:space="preserve"> </w:t>
      </w:r>
      <w:r w:rsidR="002E49F1" w:rsidRPr="002E49F1">
        <w:rPr>
          <w:rFonts w:ascii="Sylfaen" w:eastAsia="Times New Roman" w:hAnsi="Sylfaen" w:cs="Arial"/>
          <w:sz w:val="24"/>
          <w:szCs w:val="24"/>
          <w:lang w:val="ru-RU" w:eastAsia="en-GB"/>
        </w:rPr>
        <w:t>մոլեռանդության</w:t>
      </w:r>
      <w:r w:rsidR="002E49F1" w:rsidRPr="002E49F1">
        <w:rPr>
          <w:rFonts w:ascii="Sylfaen" w:eastAsia="Times New Roman" w:hAnsi="Sylfaen" w:cs="Arial"/>
          <w:sz w:val="24"/>
          <w:szCs w:val="24"/>
          <w:lang w:eastAsia="en-GB"/>
        </w:rPr>
        <w:t xml:space="preserve"> </w:t>
      </w:r>
      <w:r w:rsidR="002E49F1" w:rsidRPr="002E49F1">
        <w:rPr>
          <w:rFonts w:ascii="Sylfaen" w:eastAsia="Times New Roman" w:hAnsi="Sylfaen" w:cs="Arial"/>
          <w:sz w:val="24"/>
          <w:szCs w:val="24"/>
          <w:lang w:val="ru-RU" w:eastAsia="en-GB"/>
        </w:rPr>
        <w:t>շարժառիթով</w:t>
      </w:r>
      <w:r w:rsidR="002E49F1" w:rsidRPr="002E49F1">
        <w:rPr>
          <w:rFonts w:ascii="Sylfaen" w:eastAsia="Times New Roman" w:hAnsi="Sylfaen" w:cs="Arial"/>
          <w:sz w:val="24"/>
          <w:szCs w:val="24"/>
          <w:lang w:eastAsia="en-GB"/>
        </w:rPr>
        <w:t>, ապա վերջիններս նկատելիորեն բարձրացնում են արարքի հանրային վտանգավորությունը, որն էլ խստացնում է պատժաչափը։</w:t>
      </w:r>
    </w:p>
    <w:p w:rsidR="002E49F1" w:rsidRPr="002E49F1" w:rsidRDefault="002E49F1" w:rsidP="002E49F1">
      <w:pPr>
        <w:autoSpaceDE w:val="0"/>
        <w:autoSpaceDN w:val="0"/>
        <w:adjustRightInd w:val="0"/>
        <w:spacing w:after="0"/>
        <w:jc w:val="both"/>
        <w:rPr>
          <w:rFonts w:ascii="Sylfaen" w:eastAsia="Times New Roman" w:hAnsi="Sylfaen" w:cs="Arial"/>
          <w:b/>
          <w:sz w:val="24"/>
          <w:szCs w:val="24"/>
          <w:lang w:val="en-GB" w:eastAsia="en-GB"/>
        </w:rPr>
      </w:pPr>
      <w:r w:rsidRPr="002E49F1">
        <w:rPr>
          <w:rFonts w:ascii="Sylfaen" w:eastAsia="Times New Roman" w:hAnsi="Sylfaen" w:cs="Arial"/>
          <w:sz w:val="24"/>
          <w:szCs w:val="24"/>
          <w:lang w:eastAsia="en-GB"/>
        </w:rPr>
        <w:br/>
      </w:r>
      <w:r w:rsidRPr="002E49F1">
        <w:rPr>
          <w:rFonts w:ascii="Sylfaen" w:eastAsia="Times New Roman" w:hAnsi="Sylfaen" w:cs="Times New Roman"/>
          <w:sz w:val="24"/>
          <w:szCs w:val="24"/>
          <w:lang w:eastAsia="en-GB"/>
        </w:rPr>
        <w:br w:type="page"/>
      </w:r>
      <w:r w:rsidRPr="002E49F1">
        <w:rPr>
          <w:rFonts w:ascii="Sylfaen" w:eastAsia="Times New Roman" w:hAnsi="Sylfaen" w:cs="Arial"/>
          <w:b/>
          <w:sz w:val="24"/>
          <w:szCs w:val="24"/>
          <w:lang w:val="en-GB" w:eastAsia="en-GB"/>
        </w:rPr>
        <w:lastRenderedPageBreak/>
        <w:t xml:space="preserve">4. Թիվ 12 Արձանագրություն` կապը 14-րդ հոդվածի հետ և կիրառումը </w:t>
      </w:r>
    </w:p>
    <w:p w:rsidR="002E49F1" w:rsidRPr="002E49F1" w:rsidRDefault="002E49F1" w:rsidP="002E49F1">
      <w:pPr>
        <w:spacing w:after="0"/>
        <w:rPr>
          <w:rFonts w:ascii="Sylfaen" w:eastAsia="Times New Roman" w:hAnsi="Sylfaen" w:cs="Arial"/>
          <w:b/>
          <w:i/>
          <w:sz w:val="24"/>
          <w:szCs w:val="24"/>
          <w:lang w:val="en-GB" w:eastAsia="en-GB"/>
        </w:rPr>
      </w:pPr>
    </w:p>
    <w:p w:rsidR="002E49F1" w:rsidRPr="002E49F1" w:rsidRDefault="002E49F1" w:rsidP="002E49F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Sylfaen" w:eastAsia="Times New Roman" w:hAnsi="Sylfaen" w:cs="Arial"/>
          <w:sz w:val="24"/>
          <w:szCs w:val="24"/>
          <w:lang w:val="en-GB" w:eastAsia="en-GB"/>
        </w:rPr>
      </w:pPr>
      <w:proofErr w:type="gramStart"/>
      <w:r w:rsidRPr="002E49F1">
        <w:rPr>
          <w:rFonts w:ascii="Sylfaen" w:eastAsia="Times New Roman" w:hAnsi="Sylfaen" w:cs="Arial"/>
          <w:sz w:val="24"/>
          <w:szCs w:val="24"/>
          <w:lang w:val="en-GB" w:eastAsia="en-GB"/>
        </w:rPr>
        <w:t>Թիվ 12 Արձանագրությունն ուժի մեջ է մտել 2010թ.</w:t>
      </w:r>
      <w:proofErr w:type="gramEnd"/>
      <w:r w:rsidRPr="002E49F1">
        <w:rPr>
          <w:rFonts w:ascii="Sylfaen" w:eastAsia="Times New Roman" w:hAnsi="Sylfaen" w:cs="Arial"/>
          <w:sz w:val="24"/>
          <w:szCs w:val="24"/>
          <w:lang w:val="en-GB" w:eastAsia="en-GB"/>
        </w:rPr>
        <w:t xml:space="preserve"> </w:t>
      </w:r>
      <w:proofErr w:type="gramStart"/>
      <w:r w:rsidRPr="002E49F1">
        <w:rPr>
          <w:rFonts w:ascii="Sylfaen" w:eastAsia="Times New Roman" w:hAnsi="Sylfaen" w:cs="Arial"/>
          <w:sz w:val="24"/>
          <w:szCs w:val="24"/>
          <w:lang w:val="en-GB" w:eastAsia="en-GB"/>
        </w:rPr>
        <w:t>նոյեմբերին</w:t>
      </w:r>
      <w:proofErr w:type="gramEnd"/>
      <w:r w:rsidRPr="002E49F1">
        <w:rPr>
          <w:rFonts w:ascii="Sylfaen" w:eastAsia="Times New Roman" w:hAnsi="Sylfaen" w:cs="Arial"/>
          <w:sz w:val="24"/>
          <w:szCs w:val="24"/>
          <w:lang w:val="en-GB" w:eastAsia="en-GB"/>
        </w:rPr>
        <w:t xml:space="preserve"> այն վավերացրած 18 երկրներում: Հայաստանի Հանրապետությունը այս արձանագրությունը վավերացրել է 2014թ. </w:t>
      </w:r>
      <w:proofErr w:type="gramStart"/>
      <w:r w:rsidRPr="002E49F1">
        <w:rPr>
          <w:rFonts w:ascii="Sylfaen" w:eastAsia="Times New Roman" w:hAnsi="Sylfaen" w:cs="Arial"/>
          <w:sz w:val="24"/>
          <w:szCs w:val="24"/>
          <w:lang w:val="en-GB" w:eastAsia="en-GB"/>
        </w:rPr>
        <w:t>դեկտեմբերի</w:t>
      </w:r>
      <w:proofErr w:type="gramEnd"/>
      <w:r w:rsidRPr="002E49F1">
        <w:rPr>
          <w:rFonts w:ascii="Sylfaen" w:eastAsia="Times New Roman" w:hAnsi="Sylfaen" w:cs="Arial"/>
          <w:sz w:val="24"/>
          <w:szCs w:val="24"/>
          <w:lang w:val="en-GB" w:eastAsia="en-GB"/>
        </w:rPr>
        <w:t xml:space="preserve"> 17-ին։ Արձանագրությունը պաշտպանությունն ավելի շուտ ընդլայնում է անդամ պետության կողմից «սահմանված ցանկացած իրավունքից օգտվելու»  վրա, քան ուղղակի Կոնվենցիայում նշված իրավունքների: Թիվ 12 Արձանագրությունը ստեղծում է ինքնուրույն իրավունք: Ի տարբերություն 14-րդ հոդվածի` այն կախված չի Կոնվենցիայի մեկ այլ իրավունքի հետ միջամտության հաստատումից: Երբ թիվ 12 Արձանագրության հիմնական նպատակը` խտրականության ընդհանուր արգելումը, բավականին արմատական է, դժվար է նախապես կանխատեսել, թե որքանով այդ փաստաթուղթն արդյունավետ կդառնա:  </w:t>
      </w:r>
    </w:p>
    <w:p w:rsidR="002E49F1" w:rsidRPr="002E49F1" w:rsidRDefault="002E49F1" w:rsidP="002E49F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Sylfaen" w:eastAsia="Times New Roman" w:hAnsi="Sylfaen" w:cs="Arial"/>
          <w:sz w:val="24"/>
          <w:szCs w:val="24"/>
          <w:lang w:val="en-GB" w:eastAsia="en-GB"/>
        </w:rPr>
      </w:pPr>
    </w:p>
    <w:p w:rsidR="002E49F1" w:rsidRPr="002E49F1" w:rsidRDefault="002E49F1" w:rsidP="002E49F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jc w:val="both"/>
        <w:rPr>
          <w:rFonts w:ascii="Sylfaen" w:eastAsia="Times New Roman" w:hAnsi="Sylfaen" w:cs="Arial"/>
          <w:sz w:val="24"/>
          <w:szCs w:val="24"/>
          <w:lang w:val="en-GB" w:eastAsia="en-GB"/>
        </w:rPr>
      </w:pPr>
      <w:r w:rsidRPr="002E49F1">
        <w:rPr>
          <w:rFonts w:ascii="Sylfaen" w:eastAsia="Times New Roman" w:hAnsi="Sylfaen" w:cs="Arial"/>
          <w:i/>
          <w:sz w:val="24"/>
          <w:szCs w:val="24"/>
          <w:lang w:val="en-GB" w:eastAsia="en-GB"/>
        </w:rPr>
        <w:t xml:space="preserve">Սեյդիչը և Ֆինչին ընդդեմ Բոսնիայի և Հերցոգովինայի </w:t>
      </w:r>
      <w:r w:rsidRPr="002E49F1">
        <w:rPr>
          <w:rFonts w:ascii="Sylfaen" w:eastAsia="Times New Roman" w:hAnsi="Sylfaen" w:cs="Arial"/>
          <w:sz w:val="24"/>
          <w:szCs w:val="24"/>
          <w:lang w:val="en-GB" w:eastAsia="en-GB"/>
        </w:rPr>
        <w:t xml:space="preserve"> [</w:t>
      </w:r>
      <w:hyperlink r:id="rId44" w:history="1">
        <w:r w:rsidRPr="002E49F1">
          <w:rPr>
            <w:rFonts w:ascii="Sylfaen" w:eastAsia="Times New Roman" w:hAnsi="Sylfaen" w:cs="Arial"/>
            <w:i/>
            <w:color w:val="0000FF"/>
            <w:sz w:val="24"/>
            <w:szCs w:val="24"/>
            <w:u w:val="single"/>
            <w:lang w:val="en-GB" w:eastAsia="en-GB"/>
          </w:rPr>
          <w:t>Sejdić and Finci v. Bosnia and Herzegovina</w:t>
        </w:r>
        <w:r w:rsidRPr="002E49F1">
          <w:rPr>
            <w:rFonts w:ascii="Sylfaen" w:eastAsia="Times New Roman" w:hAnsi="Sylfaen" w:cs="Times New Roman"/>
            <w:color w:val="0000FF"/>
            <w:sz w:val="24"/>
            <w:szCs w:val="24"/>
            <w:u w:val="single"/>
            <w:lang w:val="en-GB" w:eastAsia="en-GB"/>
          </w:rPr>
          <w:t>]</w:t>
        </w:r>
      </w:hyperlink>
      <w:r w:rsidRPr="002E49F1">
        <w:rPr>
          <w:rFonts w:ascii="Sylfaen" w:eastAsia="Times New Roman" w:hAnsi="Sylfaen" w:cs="Arial"/>
          <w:i/>
          <w:sz w:val="24"/>
          <w:szCs w:val="24"/>
          <w:lang w:val="en-GB" w:eastAsia="en-GB"/>
        </w:rPr>
        <w:t xml:space="preserve"> (</w:t>
      </w:r>
      <w:r w:rsidRPr="002E49F1">
        <w:rPr>
          <w:rFonts w:ascii="Sylfaen" w:eastAsia="Times New Roman" w:hAnsi="Sylfaen" w:cs="Arial"/>
          <w:sz w:val="24"/>
          <w:szCs w:val="24"/>
          <w:lang w:val="en-GB" w:eastAsia="en-GB"/>
        </w:rPr>
        <w:t xml:space="preserve">Դիմում թիվ 27996/06 և 34836/06, 2009թ. դեկտեմբերի 22), գործում ՄԻԵԴ-ի Մեծ պալատը գտավ, որ տեղի է ունեցել միաժամանակ 14-րդ հոդվածի և թիվ 12 Արձանագրության 1-ին հոդվածի խախտում` հաշվի առնելով այն հանգամանքները, որ սահմանադրական դրույթներն երեք «բաղկացուցիչ ժողովրդներից» (բոսնիացիներ, խորվաթներ կամ սերբեր) բացի  այլ անձանց  արգելում էին  իրենց թեկնածությունները ներկայացնել  Բոսնիայի և Հերցոգովինային խորհրդարանի և նախագահության ընտրություններին: Այս միջոցը հատկապես խախտել էր հրեա և գնչու դիմումատուների իրավունքները: </w:t>
      </w:r>
    </w:p>
    <w:p w:rsidR="00DE4F67" w:rsidRPr="002E49F1" w:rsidRDefault="005210E5" w:rsidP="002E49F1">
      <w:pPr>
        <w:spacing w:after="0"/>
        <w:rPr>
          <w:lang w:val="en-GB"/>
        </w:rPr>
      </w:pPr>
    </w:p>
    <w:sectPr w:rsidR="00DE4F67" w:rsidRPr="002E49F1" w:rsidSect="00D41A2A">
      <w:headerReference w:type="default" r:id="rId45"/>
      <w:pgSz w:w="12240" w:h="15840"/>
      <w:pgMar w:top="1440" w:right="1440" w:bottom="1440" w:left="1440" w:header="28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10E5" w:rsidRDefault="005210E5" w:rsidP="002E49F1">
      <w:pPr>
        <w:spacing w:after="0" w:line="240" w:lineRule="auto"/>
      </w:pPr>
      <w:r>
        <w:separator/>
      </w:r>
    </w:p>
  </w:endnote>
  <w:endnote w:type="continuationSeparator" w:id="0">
    <w:p w:rsidR="005210E5" w:rsidRDefault="005210E5" w:rsidP="002E49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Sylfaen">
    <w:panose1 w:val="010A0502050306030303"/>
    <w:charset w:val="CC"/>
    <w:family w:val="roman"/>
    <w:pitch w:val="variable"/>
    <w:sig w:usb0="040006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10E5" w:rsidRDefault="005210E5" w:rsidP="002E49F1">
      <w:pPr>
        <w:spacing w:after="0" w:line="240" w:lineRule="auto"/>
      </w:pPr>
      <w:r>
        <w:separator/>
      </w:r>
    </w:p>
  </w:footnote>
  <w:footnote w:type="continuationSeparator" w:id="0">
    <w:p w:rsidR="005210E5" w:rsidRDefault="005210E5" w:rsidP="002E49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569D" w:rsidRDefault="005210E5" w:rsidP="00D41A2A">
    <w:pPr>
      <w:pStyle w:val="Header"/>
      <w:ind w:left="-1134"/>
    </w:pPr>
  </w:p>
  <w:p w:rsidR="0052569D" w:rsidRDefault="005210E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430B01"/>
    <w:multiLevelType w:val="hybridMultilevel"/>
    <w:tmpl w:val="8C66B3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6E7D0F20"/>
    <w:multiLevelType w:val="hybridMultilevel"/>
    <w:tmpl w:val="22D0F03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nsid w:val="75FE6724"/>
    <w:multiLevelType w:val="hybridMultilevel"/>
    <w:tmpl w:val="301C00F6"/>
    <w:lvl w:ilvl="0" w:tplc="FEEAF19A">
      <w:numFmt w:val="bullet"/>
      <w:lvlText w:val="-"/>
      <w:lvlJc w:val="left"/>
      <w:pPr>
        <w:ind w:left="720" w:hanging="360"/>
      </w:pPr>
      <w:rPr>
        <w:rFonts w:ascii="Arial" w:eastAsia="SimSun" w:hAnsi="Arial" w:cs="Arial" w:hint="default"/>
      </w:rPr>
    </w:lvl>
    <w:lvl w:ilvl="1" w:tplc="0409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77E7FEA"/>
    <w:multiLevelType w:val="hybridMultilevel"/>
    <w:tmpl w:val="0FA454E8"/>
    <w:lvl w:ilvl="0" w:tplc="08090001">
      <w:start w:val="1"/>
      <w:numFmt w:val="bullet"/>
      <w:lvlText w:val=""/>
      <w:lvlJc w:val="left"/>
      <w:pPr>
        <w:tabs>
          <w:tab w:val="num" w:pos="784"/>
        </w:tabs>
        <w:ind w:left="784" w:hanging="360"/>
      </w:pPr>
      <w:rPr>
        <w:rFonts w:ascii="Symbol" w:hAnsi="Symbol" w:hint="default"/>
      </w:rPr>
    </w:lvl>
    <w:lvl w:ilvl="1" w:tplc="08090003" w:tentative="1">
      <w:start w:val="1"/>
      <w:numFmt w:val="bullet"/>
      <w:lvlText w:val="o"/>
      <w:lvlJc w:val="left"/>
      <w:pPr>
        <w:tabs>
          <w:tab w:val="num" w:pos="1504"/>
        </w:tabs>
        <w:ind w:left="1504" w:hanging="360"/>
      </w:pPr>
      <w:rPr>
        <w:rFonts w:ascii="Courier New" w:hAnsi="Courier New" w:cs="Courier New" w:hint="default"/>
      </w:rPr>
    </w:lvl>
    <w:lvl w:ilvl="2" w:tplc="08090005" w:tentative="1">
      <w:start w:val="1"/>
      <w:numFmt w:val="bullet"/>
      <w:lvlText w:val=""/>
      <w:lvlJc w:val="left"/>
      <w:pPr>
        <w:tabs>
          <w:tab w:val="num" w:pos="2224"/>
        </w:tabs>
        <w:ind w:left="2224" w:hanging="360"/>
      </w:pPr>
      <w:rPr>
        <w:rFonts w:ascii="Wingdings" w:hAnsi="Wingdings" w:hint="default"/>
      </w:rPr>
    </w:lvl>
    <w:lvl w:ilvl="3" w:tplc="08090001" w:tentative="1">
      <w:start w:val="1"/>
      <w:numFmt w:val="bullet"/>
      <w:lvlText w:val=""/>
      <w:lvlJc w:val="left"/>
      <w:pPr>
        <w:tabs>
          <w:tab w:val="num" w:pos="2944"/>
        </w:tabs>
        <w:ind w:left="2944" w:hanging="360"/>
      </w:pPr>
      <w:rPr>
        <w:rFonts w:ascii="Symbol" w:hAnsi="Symbol" w:hint="default"/>
      </w:rPr>
    </w:lvl>
    <w:lvl w:ilvl="4" w:tplc="08090003" w:tentative="1">
      <w:start w:val="1"/>
      <w:numFmt w:val="bullet"/>
      <w:lvlText w:val="o"/>
      <w:lvlJc w:val="left"/>
      <w:pPr>
        <w:tabs>
          <w:tab w:val="num" w:pos="3664"/>
        </w:tabs>
        <w:ind w:left="3664" w:hanging="360"/>
      </w:pPr>
      <w:rPr>
        <w:rFonts w:ascii="Courier New" w:hAnsi="Courier New" w:cs="Courier New" w:hint="default"/>
      </w:rPr>
    </w:lvl>
    <w:lvl w:ilvl="5" w:tplc="08090005" w:tentative="1">
      <w:start w:val="1"/>
      <w:numFmt w:val="bullet"/>
      <w:lvlText w:val=""/>
      <w:lvlJc w:val="left"/>
      <w:pPr>
        <w:tabs>
          <w:tab w:val="num" w:pos="4384"/>
        </w:tabs>
        <w:ind w:left="4384" w:hanging="360"/>
      </w:pPr>
      <w:rPr>
        <w:rFonts w:ascii="Wingdings" w:hAnsi="Wingdings" w:hint="default"/>
      </w:rPr>
    </w:lvl>
    <w:lvl w:ilvl="6" w:tplc="08090001" w:tentative="1">
      <w:start w:val="1"/>
      <w:numFmt w:val="bullet"/>
      <w:lvlText w:val=""/>
      <w:lvlJc w:val="left"/>
      <w:pPr>
        <w:tabs>
          <w:tab w:val="num" w:pos="5104"/>
        </w:tabs>
        <w:ind w:left="5104" w:hanging="360"/>
      </w:pPr>
      <w:rPr>
        <w:rFonts w:ascii="Symbol" w:hAnsi="Symbol" w:hint="default"/>
      </w:rPr>
    </w:lvl>
    <w:lvl w:ilvl="7" w:tplc="08090003" w:tentative="1">
      <w:start w:val="1"/>
      <w:numFmt w:val="bullet"/>
      <w:lvlText w:val="o"/>
      <w:lvlJc w:val="left"/>
      <w:pPr>
        <w:tabs>
          <w:tab w:val="num" w:pos="5824"/>
        </w:tabs>
        <w:ind w:left="5824" w:hanging="360"/>
      </w:pPr>
      <w:rPr>
        <w:rFonts w:ascii="Courier New" w:hAnsi="Courier New" w:cs="Courier New" w:hint="default"/>
      </w:rPr>
    </w:lvl>
    <w:lvl w:ilvl="8" w:tplc="08090005" w:tentative="1">
      <w:start w:val="1"/>
      <w:numFmt w:val="bullet"/>
      <w:lvlText w:val=""/>
      <w:lvlJc w:val="left"/>
      <w:pPr>
        <w:tabs>
          <w:tab w:val="num" w:pos="6544"/>
        </w:tabs>
        <w:ind w:left="6544" w:hanging="360"/>
      </w:pPr>
      <w:rPr>
        <w:rFonts w:ascii="Wingdings" w:hAnsi="Wingdings" w:hint="default"/>
      </w:rPr>
    </w:lvl>
  </w:abstractNum>
  <w:abstractNum w:abstractNumId="4">
    <w:nsid w:val="79DA036D"/>
    <w:multiLevelType w:val="hybridMultilevel"/>
    <w:tmpl w:val="D13EB484"/>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4"/>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hideSpelling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49F1"/>
    <w:rsid w:val="00075D8C"/>
    <w:rsid w:val="00136909"/>
    <w:rsid w:val="001C7C07"/>
    <w:rsid w:val="00297D67"/>
    <w:rsid w:val="002E49F1"/>
    <w:rsid w:val="00376129"/>
    <w:rsid w:val="005210E5"/>
    <w:rsid w:val="005347CC"/>
    <w:rsid w:val="006336F3"/>
    <w:rsid w:val="00724B64"/>
    <w:rsid w:val="007F12D5"/>
    <w:rsid w:val="00842D7D"/>
    <w:rsid w:val="008F4770"/>
    <w:rsid w:val="00962E04"/>
    <w:rsid w:val="00B9290A"/>
    <w:rsid w:val="00D03569"/>
    <w:rsid w:val="00E51404"/>
    <w:rsid w:val="00E61A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49F1"/>
    <w:pPr>
      <w:tabs>
        <w:tab w:val="center" w:pos="4677"/>
        <w:tab w:val="right" w:pos="9355"/>
      </w:tabs>
      <w:spacing w:after="0" w:line="240" w:lineRule="auto"/>
    </w:pPr>
  </w:style>
  <w:style w:type="character" w:customStyle="1" w:styleId="HeaderChar">
    <w:name w:val="Header Char"/>
    <w:basedOn w:val="DefaultParagraphFont"/>
    <w:link w:val="Header"/>
    <w:uiPriority w:val="99"/>
    <w:rsid w:val="002E49F1"/>
    <w:rPr>
      <w:lang w:val="en-US"/>
    </w:rPr>
  </w:style>
  <w:style w:type="paragraph" w:styleId="BalloonText">
    <w:name w:val="Balloon Text"/>
    <w:basedOn w:val="Normal"/>
    <w:link w:val="BalloonTextChar"/>
    <w:uiPriority w:val="99"/>
    <w:semiHidden/>
    <w:unhideWhenUsed/>
    <w:rsid w:val="002E49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49F1"/>
    <w:rPr>
      <w:rFonts w:ascii="Tahoma" w:hAnsi="Tahoma" w:cs="Tahoma"/>
      <w:sz w:val="16"/>
      <w:szCs w:val="16"/>
      <w:lang w:val="en-US"/>
    </w:rPr>
  </w:style>
  <w:style w:type="paragraph" w:styleId="Footer">
    <w:name w:val="footer"/>
    <w:basedOn w:val="Normal"/>
    <w:link w:val="FooterChar"/>
    <w:uiPriority w:val="99"/>
    <w:unhideWhenUsed/>
    <w:rsid w:val="002E49F1"/>
    <w:pPr>
      <w:tabs>
        <w:tab w:val="center" w:pos="4677"/>
        <w:tab w:val="right" w:pos="9355"/>
      </w:tabs>
      <w:spacing w:after="0" w:line="240" w:lineRule="auto"/>
    </w:pPr>
  </w:style>
  <w:style w:type="character" w:customStyle="1" w:styleId="FooterChar">
    <w:name w:val="Footer Char"/>
    <w:basedOn w:val="DefaultParagraphFont"/>
    <w:link w:val="Footer"/>
    <w:uiPriority w:val="99"/>
    <w:rsid w:val="002E49F1"/>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E49F1"/>
    <w:pPr>
      <w:tabs>
        <w:tab w:val="center" w:pos="4677"/>
        <w:tab w:val="right" w:pos="9355"/>
      </w:tabs>
      <w:spacing w:after="0" w:line="240" w:lineRule="auto"/>
    </w:pPr>
  </w:style>
  <w:style w:type="character" w:customStyle="1" w:styleId="HeaderChar">
    <w:name w:val="Header Char"/>
    <w:basedOn w:val="DefaultParagraphFont"/>
    <w:link w:val="Header"/>
    <w:uiPriority w:val="99"/>
    <w:rsid w:val="002E49F1"/>
    <w:rPr>
      <w:lang w:val="en-US"/>
    </w:rPr>
  </w:style>
  <w:style w:type="paragraph" w:styleId="BalloonText">
    <w:name w:val="Balloon Text"/>
    <w:basedOn w:val="Normal"/>
    <w:link w:val="BalloonTextChar"/>
    <w:uiPriority w:val="99"/>
    <w:semiHidden/>
    <w:unhideWhenUsed/>
    <w:rsid w:val="002E49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49F1"/>
    <w:rPr>
      <w:rFonts w:ascii="Tahoma" w:hAnsi="Tahoma" w:cs="Tahoma"/>
      <w:sz w:val="16"/>
      <w:szCs w:val="16"/>
      <w:lang w:val="en-US"/>
    </w:rPr>
  </w:style>
  <w:style w:type="paragraph" w:styleId="Footer">
    <w:name w:val="footer"/>
    <w:basedOn w:val="Normal"/>
    <w:link w:val="FooterChar"/>
    <w:uiPriority w:val="99"/>
    <w:unhideWhenUsed/>
    <w:rsid w:val="002E49F1"/>
    <w:pPr>
      <w:tabs>
        <w:tab w:val="center" w:pos="4677"/>
        <w:tab w:val="right" w:pos="9355"/>
      </w:tabs>
      <w:spacing w:after="0" w:line="240" w:lineRule="auto"/>
    </w:pPr>
  </w:style>
  <w:style w:type="character" w:customStyle="1" w:styleId="FooterChar">
    <w:name w:val="Footer Char"/>
    <w:basedOn w:val="DefaultParagraphFont"/>
    <w:link w:val="Footer"/>
    <w:uiPriority w:val="99"/>
    <w:rsid w:val="002E49F1"/>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hudoc.echr.coe.int/sites/eng/pages/search.aspx?i=001-57563" TargetMode="External"/><Relationship Id="rId13" Type="http://schemas.openxmlformats.org/officeDocument/2006/relationships/hyperlink" Target="http://hudoc.echr.coe.int/sites/eng/pages/search.aspx?i=001-57525" TargetMode="External"/><Relationship Id="rId18" Type="http://schemas.openxmlformats.org/officeDocument/2006/relationships/hyperlink" Target="http://hudoc.echr.coe.int/sites/eng/pages/search.aspx?i=001-58561" TargetMode="External"/><Relationship Id="rId26" Type="http://schemas.openxmlformats.org/officeDocument/2006/relationships/hyperlink" Target="http://hudoc.echr.coe.int/sites/eng/pages/search.aspx?i=001-128301" TargetMode="External"/><Relationship Id="rId39" Type="http://schemas.openxmlformats.org/officeDocument/2006/relationships/hyperlink" Target="http://www.osce.org/odihr/36426?download=true" TargetMode="External"/><Relationship Id="rId3" Type="http://schemas.microsoft.com/office/2007/relationships/stylesWithEffects" Target="stylesWithEffects.xml"/><Relationship Id="rId21" Type="http://schemas.openxmlformats.org/officeDocument/2006/relationships/hyperlink" Target="http://justice.am/storage/files/legal_acts/legal_acts_7182269154741_VIRABYAN-last.pdf" TargetMode="External"/><Relationship Id="rId34" Type="http://schemas.openxmlformats.org/officeDocument/2006/relationships/hyperlink" Target="http://hudoc.echr.coe.int/sites/eng/pages/search.aspx?i=001-118072" TargetMode="External"/><Relationship Id="rId42" Type="http://schemas.openxmlformats.org/officeDocument/2006/relationships/hyperlink" Target="http://www.osce.org/odihr" TargetMode="Externa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hudoc.echr.coe.int/sites/eng/pages/search.aspx?i=001-57825" TargetMode="External"/><Relationship Id="rId17" Type="http://schemas.openxmlformats.org/officeDocument/2006/relationships/hyperlink" Target="http://hudoc.echr.coe.int/sites/eng/pages/search.aspx?i=001-128303" TargetMode="External"/><Relationship Id="rId25" Type="http://schemas.openxmlformats.org/officeDocument/2006/relationships/hyperlink" Target="http://hudoc.echr.coe.int/sites/eng/pages/search.aspx?i=001-128301" TargetMode="External"/><Relationship Id="rId33" Type="http://schemas.openxmlformats.org/officeDocument/2006/relationships/hyperlink" Target="http://hudoc.echr.coe.int/sites/eng/pages/search.aspx?i=001-128281" TargetMode="External"/><Relationship Id="rId38" Type="http://schemas.openxmlformats.org/officeDocument/2006/relationships/hyperlink" Target="http://www.osce.org/cio/40695" TargetMode="Externa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hudoc.echr.coe.int/sites/eng/pages/search.aspx?i=001-118674" TargetMode="External"/><Relationship Id="rId20" Type="http://schemas.openxmlformats.org/officeDocument/2006/relationships/hyperlink" Target="http://hudoc.echr.coe.int/sites/eng/pages/search.aspx?i=001-118000" TargetMode="External"/><Relationship Id="rId29" Type="http://schemas.openxmlformats.org/officeDocument/2006/relationships/hyperlink" Target="http://hudoc.echr.coe.int/sites/eng/pages/search.aspx?i=001-69630" TargetMode="External"/><Relationship Id="rId41" Type="http://schemas.openxmlformats.org/officeDocument/2006/relationships/hyperlink" Target="http://hudoc.echr.coe.int/sites/eng/pages/search.aspx?i=001-80711"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file:///C:\Users\ARAIK\Downloads\CASE%20OF%20ABDULAZIZ%20CABALES%20AND%20BALKANDALI%20v.%20THE%20UNITED%20KINGDOM%20%20Russian%20Translation.pdf" TargetMode="External"/><Relationship Id="rId24" Type="http://schemas.openxmlformats.org/officeDocument/2006/relationships/hyperlink" Target="file:///C:\Users\ARAIK\Downloads\CASE%20OF%20ANGUELOVA%20v.%20BULGARIA%20%20Armenian%20Translation.pdf" TargetMode="External"/><Relationship Id="rId32" Type="http://schemas.openxmlformats.org/officeDocument/2006/relationships/hyperlink" Target="file:///C:\Users\ARAIK\Downloads\CASE%20OF%20OPUZ%20v.%20TURKEY%20%20Armenian%20Translation.pdf" TargetMode="External"/><Relationship Id="rId37" Type="http://schemas.openxmlformats.org/officeDocument/2006/relationships/hyperlink" Target="http://hudoc.echr.coe.int/sites/eng/pages/search.aspx?i=001-57499" TargetMode="External"/><Relationship Id="rId40" Type="http://schemas.openxmlformats.org/officeDocument/2006/relationships/hyperlink" Target="http://hudoc.echr.coe.int/sites/eng/pages/search.aspx?i=001-69630" TargetMode="External"/><Relationship Id="rId45"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hudoc.echr.coe.int/sites/eng/pages/search.aspx?i=001-118787" TargetMode="External"/><Relationship Id="rId23" Type="http://schemas.openxmlformats.org/officeDocument/2006/relationships/hyperlink" Target="http://hudoc.echr.coe.int/sites/eng/pages/search.aspx?i=001-61834" TargetMode="External"/><Relationship Id="rId28" Type="http://schemas.openxmlformats.org/officeDocument/2006/relationships/hyperlink" Target="http://hudoc.echr.coe.int/sites/eng/pages/search.aspx?i=001-83256" TargetMode="External"/><Relationship Id="rId36" Type="http://schemas.openxmlformats.org/officeDocument/2006/relationships/hyperlink" Target="http://www.echr.coe.int/Documents/FS_Hate_speech_ENG.pdf" TargetMode="External"/><Relationship Id="rId10" Type="http://schemas.openxmlformats.org/officeDocument/2006/relationships/hyperlink" Target="http://hudoc.echr.coe.int/sites/eng/pages/search.aspx?i=001-57416" TargetMode="External"/><Relationship Id="rId19" Type="http://schemas.openxmlformats.org/officeDocument/2006/relationships/hyperlink" Target="http://hudoc.echr.coe.int/sites/eng/pages/search.aspx?i=001-114429" TargetMode="External"/><Relationship Id="rId31" Type="http://schemas.openxmlformats.org/officeDocument/2006/relationships/hyperlink" Target="http://hudoc.echr.coe.int/sites/eng/pages/search.aspx?i=001-85308" TargetMode="External"/><Relationship Id="rId44" Type="http://schemas.openxmlformats.org/officeDocument/2006/relationships/hyperlink" Target="http://hudoc.echr.coe.int/sites/eng/pages/search.aspx?i=001-118674" TargetMode="External"/><Relationship Id="rId4" Type="http://schemas.openxmlformats.org/officeDocument/2006/relationships/settings" Target="settings.xml"/><Relationship Id="rId9" Type="http://schemas.openxmlformats.org/officeDocument/2006/relationships/hyperlink" Target="file:///C:\Users\ARAIK\Downloads\CASE%20OF%20RASMUSSEN%20v.%20DENMARK%20%20Russian%20Translation%20(1).pdf" TargetMode="External"/><Relationship Id="rId14" Type="http://schemas.openxmlformats.org/officeDocument/2006/relationships/hyperlink" Target="file:///C:\Users\ARAIK\Downloads\ASE%20RELATING%20TO%20CERTAIN%20ASPECTS%20OF%20THE%20LAWS%20ON%20THE%20USE%20OF%20LANGUAGES%20IN%20EDUCATION%20IN%20BELGIUM%20v.%20BELGI%20(6).pdf" TargetMode="External"/><Relationship Id="rId22" Type="http://schemas.openxmlformats.org/officeDocument/2006/relationships/hyperlink" Target="http://hudoc.echr.coe.int/sites/eng/pages/search.aspx?i=001-128307" TargetMode="External"/><Relationship Id="rId27" Type="http://schemas.openxmlformats.org/officeDocument/2006/relationships/hyperlink" Target="http://hudoc.echr.coe.int/sites/eng/pages/search.aspx?i=001-102279" TargetMode="External"/><Relationship Id="rId30" Type="http://schemas.openxmlformats.org/officeDocument/2006/relationships/hyperlink" Target="http://hudoc.echr.coe.int/sites/eng/pages/search.aspx?i=001-58561" TargetMode="External"/><Relationship Id="rId35" Type="http://schemas.openxmlformats.org/officeDocument/2006/relationships/hyperlink" Target="http://www.coe.int/t/dghl/standardsetting/hrpolicy/other_committees/dh-lgbt_docs/CM_Rec(97)20_en.pdf" TargetMode="External"/><Relationship Id="rId43" Type="http://schemas.openxmlformats.org/officeDocument/2006/relationships/hyperlink" Target="http://www.parliament.am/legislation.php?sel=show&amp;ID=134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TotalTime>
  <Pages>17</Pages>
  <Words>5010</Words>
  <Characters>28557</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ARAIK</dc:creator>
  <cp:lastModifiedBy>ARAIK</cp:lastModifiedBy>
  <cp:revision>9</cp:revision>
  <dcterms:created xsi:type="dcterms:W3CDTF">2014-04-05T15:34:00Z</dcterms:created>
  <dcterms:modified xsi:type="dcterms:W3CDTF">2014-04-12T11:05:00Z</dcterms:modified>
</cp:coreProperties>
</file>