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B2F" w:rsidRDefault="009C5B2F" w:rsidP="009C5B2F">
      <w:pPr>
        <w:spacing w:after="0"/>
        <w:jc w:val="center"/>
        <w:rPr>
          <w:rFonts w:ascii="Sylfaen" w:eastAsia="Times New Roman" w:hAnsi="Sylfaen" w:cs="Arial"/>
          <w:b/>
          <w:sz w:val="28"/>
          <w:szCs w:val="28"/>
          <w:lang w:val="en-GB" w:eastAsia="en-GB"/>
        </w:rPr>
      </w:pPr>
      <w:r w:rsidRPr="009C5B2F">
        <w:rPr>
          <w:rFonts w:ascii="Sylfaen" w:eastAsia="Times New Roman" w:hAnsi="Sylfaen" w:cs="Arial"/>
          <w:b/>
          <w:sz w:val="28"/>
          <w:szCs w:val="28"/>
          <w:lang w:val="en-GB" w:eastAsia="en-GB"/>
        </w:rPr>
        <w:t>Ատելության հիմքով հանցագործություններ և</w:t>
      </w:r>
    </w:p>
    <w:p w:rsidR="009C5B2F" w:rsidRPr="009C5B2F" w:rsidRDefault="009C5B2F" w:rsidP="009C5B2F">
      <w:pPr>
        <w:spacing w:after="0"/>
        <w:jc w:val="center"/>
        <w:rPr>
          <w:rFonts w:ascii="Sylfaen" w:eastAsia="Times New Roman" w:hAnsi="Sylfaen" w:cs="Arial"/>
          <w:b/>
          <w:sz w:val="28"/>
          <w:szCs w:val="28"/>
          <w:lang w:val="en-GB" w:eastAsia="en-GB"/>
        </w:rPr>
      </w:pPr>
      <w:r w:rsidRPr="009C5B2F">
        <w:rPr>
          <w:rFonts w:ascii="Sylfaen" w:eastAsia="Times New Roman" w:hAnsi="Sylfaen" w:cs="Arial"/>
          <w:b/>
          <w:sz w:val="28"/>
          <w:szCs w:val="28"/>
          <w:lang w:val="en-GB" w:eastAsia="en-GB"/>
        </w:rPr>
        <w:t>ատելության քարոզում</w:t>
      </w:r>
    </w:p>
    <w:p w:rsidR="009C5B2F" w:rsidRPr="009C5B2F" w:rsidRDefault="009C5B2F" w:rsidP="009C5B2F">
      <w:pPr>
        <w:spacing w:after="0"/>
        <w:jc w:val="center"/>
        <w:rPr>
          <w:rFonts w:ascii="Sylfaen" w:eastAsia="Times New Roman" w:hAnsi="Sylfaen" w:cs="Arial"/>
          <w:b/>
          <w:sz w:val="24"/>
          <w:szCs w:val="24"/>
          <w:lang w:val="en-GB" w:eastAsia="en-GB"/>
        </w:rPr>
      </w:pPr>
    </w:p>
    <w:p w:rsidR="009C5B2F" w:rsidRPr="009C5B2F" w:rsidRDefault="009C5B2F" w:rsidP="009C5B2F">
      <w:pPr>
        <w:spacing w:after="0"/>
        <w:rPr>
          <w:rFonts w:ascii="Sylfaen" w:eastAsia="Times New Roman" w:hAnsi="Sylfaen" w:cs="Arial"/>
          <w:b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b/>
          <w:sz w:val="24"/>
          <w:szCs w:val="24"/>
          <w:lang w:eastAsia="en-GB"/>
        </w:rPr>
        <w:t>Ատելության քարոզում</w:t>
      </w:r>
    </w:p>
    <w:p w:rsidR="009C5B2F" w:rsidRPr="009C5B2F" w:rsidRDefault="009C5B2F" w:rsidP="009C5B2F">
      <w:pPr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Կարևոր է իմանալ, որ Եվրոպայի խորհրդի անդամ պետությունների միջև գոյություն չունի համընդհանուր կերպով ընդունված սահմանում ատելության քարոզում արտահայտության համար: Այնուամենայնիվ Եվրոպայի խորհրդի նախարարների կոմիտեի </w:t>
      </w:r>
      <w:hyperlink r:id="rId7" w:history="1">
        <w:r w:rsidRPr="009C5B2F">
          <w:rPr>
            <w:rFonts w:ascii="Sylfaen" w:eastAsia="Times New Roman" w:hAnsi="Sylfaen" w:cs="Arial"/>
            <w:color w:val="0000FF"/>
            <w:sz w:val="24"/>
            <w:szCs w:val="24"/>
            <w:u w:val="single"/>
            <w:lang w:eastAsia="en-GB"/>
          </w:rPr>
          <w:t>թիվ 97(20) հանձնարարականը</w:t>
        </w:r>
      </w:hyperlink>
      <w:r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«ատելության քարոզումը» սահմանում է հետևյալ կերպ` </w:t>
      </w:r>
    </w:p>
    <w:p w:rsidR="009C5B2F" w:rsidRPr="009C5B2F" w:rsidRDefault="009C5B2F" w:rsidP="009C5B2F">
      <w:pPr>
        <w:spacing w:after="0"/>
        <w:jc w:val="both"/>
        <w:rPr>
          <w:rFonts w:ascii="Sylfaen" w:eastAsia="Times New Roman" w:hAnsi="Sylfaen" w:cs="Arial"/>
          <w:i/>
          <w:sz w:val="24"/>
          <w:szCs w:val="24"/>
          <w:lang w:eastAsia="ru-RU"/>
        </w:rPr>
      </w:pPr>
      <w:r w:rsidRPr="009C5B2F">
        <w:rPr>
          <w:rFonts w:ascii="Sylfaen" w:eastAsia="Times New Roman" w:hAnsi="Sylfaen" w:cs="Arial"/>
          <w:i/>
          <w:sz w:val="24"/>
          <w:szCs w:val="24"/>
          <w:lang w:eastAsia="ru-RU"/>
        </w:rPr>
        <w:t xml:space="preserve"> « </w:t>
      </w:r>
      <w:r w:rsidRPr="009C5B2F">
        <w:rPr>
          <w:rFonts w:ascii="Sylfaen" w:eastAsia="Times New Roman" w:hAnsi="Sylfaen" w:cs="Calibri"/>
          <w:i/>
          <w:sz w:val="24"/>
          <w:szCs w:val="24"/>
          <w:lang w:eastAsia="ru-RU"/>
        </w:rPr>
        <w:t>«Ատելության քարոզում» եզրույթը պետք է հասկանալ, որպես արտահայտման բոլոր ձևերն ընդգրկող երևույթ, որը տարածում է, հրահրում է, խրախուսում կամ արդարացնում է ռասայական ատելությունը, այլատյացությունը, անտիսեմիտիզմը և ատելության այլ ձևերը, որոնք հիմնված են անհանդուրժողականության վրա, այդ թվում` ագրեսիվ ազգայնականությամբ և ազգակենտրոնությամբ արտահայտված անհանդուրժողականությունը, փոքրամասնությունների, ներգաղթյալների և գաղթական ծագման անձանց նկատմամբ խտրականությունը և թշնամանքը»:</w:t>
      </w:r>
    </w:p>
    <w:p w:rsidR="009C5B2F" w:rsidRPr="009C5B2F" w:rsidRDefault="009C5B2F" w:rsidP="009C5B2F">
      <w:pPr>
        <w:spacing w:after="0"/>
        <w:jc w:val="both"/>
        <w:rPr>
          <w:rFonts w:ascii="Sylfaen" w:eastAsia="Times New Roman" w:hAnsi="Sylfaen" w:cs="Calibri"/>
          <w:sz w:val="24"/>
          <w:szCs w:val="24"/>
          <w:lang w:eastAsia="ru-RU"/>
        </w:rPr>
      </w:pPr>
      <w:r w:rsidRPr="009C5B2F">
        <w:rPr>
          <w:rFonts w:ascii="Sylfaen" w:eastAsia="Times New Roman" w:hAnsi="Sylfaen" w:cs="Calibri"/>
          <w:sz w:val="24"/>
          <w:szCs w:val="24"/>
          <w:lang w:eastAsia="ru-RU"/>
        </w:rPr>
        <w:t xml:space="preserve">Այս առումով, ատելության քարոզումը ներառում է այն դիտողությունները, որոնք ուղղակիորեն ուղղված են անձի կամ անձանց որոշակի խմբի: </w:t>
      </w:r>
    </w:p>
    <w:p w:rsidR="009C5B2F" w:rsidRPr="009C5B2F" w:rsidRDefault="009C5B2F" w:rsidP="009C5B2F">
      <w:pPr>
        <w:spacing w:after="0"/>
        <w:rPr>
          <w:rFonts w:ascii="Sylfaen" w:eastAsia="Times New Roman" w:hAnsi="Sylfaen" w:cs="Arial"/>
          <w:sz w:val="24"/>
          <w:szCs w:val="24"/>
          <w:lang w:eastAsia="ru-RU"/>
        </w:rPr>
      </w:pPr>
    </w:p>
    <w:p w:rsidR="009C5B2F" w:rsidRPr="009C5B2F" w:rsidRDefault="009C5B2F" w:rsidP="009C5B2F">
      <w:pPr>
        <w:spacing w:after="0"/>
        <w:jc w:val="both"/>
        <w:rPr>
          <w:rFonts w:ascii="Sylfaen" w:eastAsia="Times New Roman" w:hAnsi="Sylfaen" w:cs="Arial"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ՄԻԵԴ-ը </w:t>
      </w:r>
      <w:hyperlink r:id="rId8" w:history="1">
        <w:r w:rsidRPr="009C5B2F">
          <w:rPr>
            <w:rFonts w:ascii="Sylfaen" w:eastAsia="Times New Roman" w:hAnsi="Sylfaen" w:cs="Arial"/>
            <w:color w:val="0000FF"/>
            <w:sz w:val="24"/>
            <w:szCs w:val="24"/>
            <w:u w:val="single"/>
            <w:lang w:eastAsia="en-GB"/>
          </w:rPr>
          <w:t>Ատելության քարոզման համառոտ տեղեկանքում</w:t>
        </w:r>
      </w:hyperlink>
      <w:r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նշում է. </w:t>
      </w:r>
    </w:p>
    <w:p w:rsidR="009C5B2F" w:rsidRPr="009C5B2F" w:rsidRDefault="009C5B2F" w:rsidP="009C5B2F">
      <w:pPr>
        <w:spacing w:after="0"/>
        <w:jc w:val="both"/>
        <w:rPr>
          <w:rFonts w:ascii="Sylfaen" w:eastAsia="Times New Roman" w:hAnsi="Sylfaen" w:cs="Arial"/>
          <w:sz w:val="24"/>
          <w:szCs w:val="24"/>
          <w:lang w:eastAsia="en-GB"/>
        </w:rPr>
      </w:pPr>
    </w:p>
    <w:p w:rsidR="009C5B2F" w:rsidRPr="009C5B2F" w:rsidRDefault="009C5B2F" w:rsidP="009C5B2F">
      <w:pPr>
        <w:spacing w:after="0"/>
        <w:jc w:val="both"/>
        <w:rPr>
          <w:rFonts w:ascii="Sylfaen" w:eastAsia="Times New Roman" w:hAnsi="Sylfaen" w:cs="Arial"/>
          <w:i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i/>
          <w:sz w:val="24"/>
          <w:szCs w:val="24"/>
          <w:lang w:eastAsia="en-GB"/>
        </w:rPr>
        <w:t>«Մարդու իրավունքների եվրոպական կոնվենցիայի հեղինակները փորձել են ստեղծել ժողովրդավարական արժեքների վրա հիմնված մի ինստիտուցիոնալ շրջանակ ծայրահեղականությունները հաղթահարելու համար: Մարդու իրավունքների եվրոպական դատարանը հայտնաբերել է արտահայտման մի շարք ձևեր, որոնք համարվում են վիրավորական և Կոնվենցիային հակասող (այդ թվում` ռասիզմը, այլատյացությունը, անտիսեմիտիզմը, ագրեսիվ ազգայնականությունը և փոքրամասնությունների և ներգաղթյալների նկատմամբ խտրականությունը):</w:t>
      </w:r>
    </w:p>
    <w:p w:rsidR="009C5B2F" w:rsidRPr="009C5B2F" w:rsidRDefault="009C5B2F" w:rsidP="009C5B2F">
      <w:pPr>
        <w:spacing w:after="0"/>
        <w:jc w:val="both"/>
        <w:rPr>
          <w:rFonts w:ascii="Sylfaen" w:eastAsia="Times New Roman" w:hAnsi="Sylfaen" w:cs="Arial"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i/>
          <w:sz w:val="24"/>
          <w:szCs w:val="24"/>
          <w:lang w:eastAsia="en-GB"/>
        </w:rPr>
        <w:t xml:space="preserve">Այնուամենայնիվ, Դատարանն իր եզրակացություններում զգուշությամբ է տարբերակում մի կողմից ծայրահեղականության իրական և լուրջ հրահրումը, և մյուս կողմից  անձանց  (այդ թվում` լրագրողների և քաղաքական գործիչների) իրենց տեսակետներն ազատ արտահայտելու իրավունքի և մյուսներին «վիրավորելու, շփոթեցնելու և վրդովեցնելու» միջև (տե´ս,  </w:t>
      </w:r>
      <w:hyperlink r:id="rId9" w:history="1">
        <w:r w:rsidRPr="009C5B2F">
          <w:rPr>
            <w:rFonts w:ascii="Sylfaen" w:eastAsia="Times New Roman" w:hAnsi="Sylfaen" w:cs="Arial"/>
            <w:i/>
            <w:color w:val="0000FF"/>
            <w:sz w:val="24"/>
            <w:szCs w:val="24"/>
            <w:u w:val="single"/>
            <w:lang w:eastAsia="en-GB"/>
          </w:rPr>
          <w:t>Handyside v. the United Kingdom</w:t>
        </w:r>
      </w:hyperlink>
      <w:r w:rsidRPr="009C5B2F">
        <w:rPr>
          <w:rFonts w:ascii="Sylfaen" w:eastAsia="Times New Roman" w:hAnsi="Sylfaen" w:cs="Arial"/>
          <w:i/>
          <w:sz w:val="24"/>
          <w:szCs w:val="24"/>
          <w:lang w:eastAsia="en-GB"/>
        </w:rPr>
        <w:t xml:space="preserve"> </w:t>
      </w:r>
      <w:r w:rsidRPr="009C5B2F">
        <w:rPr>
          <w:rFonts w:ascii="Sylfaen" w:eastAsia="Times New Roman" w:hAnsi="Sylfaen" w:cs="Arial"/>
          <w:sz w:val="24"/>
          <w:szCs w:val="24"/>
          <w:lang w:eastAsia="en-GB"/>
        </w:rPr>
        <w:t>(դիմում թիվ  5493/72)</w:t>
      </w:r>
      <w:r w:rsidRPr="009C5B2F">
        <w:rPr>
          <w:rFonts w:ascii="Sylfaen" w:eastAsia="Times New Roman" w:hAnsi="Sylfaen" w:cs="Arial"/>
          <w:i/>
          <w:sz w:val="24"/>
          <w:szCs w:val="24"/>
          <w:lang w:eastAsia="en-GB"/>
        </w:rPr>
        <w:t xml:space="preserve"> (</w:t>
      </w:r>
      <w:r w:rsidRPr="009C5B2F">
        <w:rPr>
          <w:rFonts w:ascii="Sylfaen" w:eastAsia="Times New Roman" w:hAnsi="Sylfaen" w:cs="Arial"/>
          <w:sz w:val="24"/>
          <w:szCs w:val="24"/>
          <w:lang w:eastAsia="en-GB"/>
        </w:rPr>
        <w:t>1976թ. դեկտեմբերի 7, կետ. 49)</w:t>
      </w:r>
    </w:p>
    <w:p w:rsidR="009C5B2F" w:rsidRPr="009C5B2F" w:rsidRDefault="009C5B2F" w:rsidP="009C5B2F">
      <w:pPr>
        <w:spacing w:after="0"/>
        <w:jc w:val="both"/>
        <w:rPr>
          <w:rFonts w:ascii="Sylfaen" w:eastAsia="Times New Roman" w:hAnsi="Sylfaen" w:cs="Arial"/>
          <w:b/>
          <w:i/>
          <w:sz w:val="24"/>
          <w:szCs w:val="24"/>
          <w:lang w:eastAsia="en-GB"/>
        </w:rPr>
      </w:pPr>
    </w:p>
    <w:p w:rsidR="009C5B2F" w:rsidRPr="009C5B2F" w:rsidRDefault="009C5B2F" w:rsidP="009C5B2F">
      <w:pPr>
        <w:spacing w:after="0"/>
        <w:jc w:val="both"/>
        <w:rPr>
          <w:rFonts w:ascii="Sylfaen" w:eastAsia="Times New Roman" w:hAnsi="Sylfaen" w:cs="Arial"/>
          <w:i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i/>
          <w:sz w:val="24"/>
          <w:szCs w:val="24"/>
          <w:lang w:eastAsia="en-GB"/>
        </w:rPr>
        <w:lastRenderedPageBreak/>
        <w:t>Գոյություն չունի «ատելության քարոզման» համընդհանուր ընդունված սահմանում: Դատարանի նախադեպային իրավունքը սահմանել է մի քանի պարամետրեր, որոնք թույլ են տալիս բնութագրել «ատելության քարոզումը», որպեսզի այն բացառվի խոսքի ազատության իրավունքով (Կոնվենցիայի 10-րդ հոդված)  կամ  միավորումների և հավաքների ազատության իրավունքով (11-րդ հոդված) երաշխավորված պաշտպանությունից:</w:t>
      </w:r>
    </w:p>
    <w:p w:rsidR="009C5B2F" w:rsidRPr="009C5B2F" w:rsidRDefault="009C5B2F" w:rsidP="009C5B2F">
      <w:pPr>
        <w:spacing w:after="0"/>
        <w:jc w:val="both"/>
        <w:rPr>
          <w:rFonts w:ascii="Sylfaen" w:eastAsia="Times New Roman" w:hAnsi="Sylfaen" w:cs="Arial"/>
          <w:i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i/>
          <w:sz w:val="24"/>
          <w:szCs w:val="24"/>
          <w:lang w:eastAsia="en-GB"/>
        </w:rPr>
        <w:t>Դատարանը ատելության քարոզումը պաշտպանությունից բացառում է Կոնվենցիայով նախատեսված երկու մոտեցման միջոցով`</w:t>
      </w:r>
    </w:p>
    <w:p w:rsidR="009C5B2F" w:rsidRPr="009C5B2F" w:rsidRDefault="009C5B2F" w:rsidP="009C5B2F">
      <w:pPr>
        <w:spacing w:after="0"/>
        <w:jc w:val="both"/>
        <w:rPr>
          <w:rFonts w:ascii="Sylfaen" w:eastAsia="Times New Roman" w:hAnsi="Sylfaen" w:cs="Arial"/>
          <w:i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i/>
          <w:sz w:val="24"/>
          <w:szCs w:val="24"/>
          <w:lang w:eastAsia="en-GB"/>
        </w:rPr>
        <w:t>(ա)  կիրառելով Կոնվենցիաիայի 17-րդ հոդվածը  (իրավունքների չարաշահման արգելում), որով տվյալ մեկնաբանությունները համարվում են ատելության քարոզում և ժխտում են Կոնվենցայի հիմնարար արժեքները, կամ</w:t>
      </w:r>
    </w:p>
    <w:p w:rsidR="009C5B2F" w:rsidRPr="009C5B2F" w:rsidRDefault="009C5B2F" w:rsidP="009C5B2F">
      <w:pPr>
        <w:spacing w:after="0"/>
        <w:jc w:val="both"/>
        <w:rPr>
          <w:rFonts w:ascii="Sylfaen" w:eastAsia="Times New Roman" w:hAnsi="Sylfaen" w:cs="Arial"/>
          <w:i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i/>
          <w:sz w:val="24"/>
          <w:szCs w:val="24"/>
          <w:lang w:eastAsia="en-GB"/>
        </w:rPr>
        <w:t>(բ) կիրառելով Կոնվենցիայի 10-րդ հոդվածի երկրորդ մասով և  11-րդ հոդվածով նախատեսված սահամանափակումները (այս մոտեցումը կիրառվում է այն ժամանակ, երբ վիճահարույց խոսքը, թեև այլ ատելության քարոզում է, չի կարող  կործարար լինել Կոնվենցիայի հիմնարար արժեքների համար)»:</w:t>
      </w:r>
    </w:p>
    <w:p w:rsidR="009C5B2F" w:rsidRPr="009C5B2F" w:rsidRDefault="009C5B2F" w:rsidP="009C5B2F">
      <w:pPr>
        <w:spacing w:after="0"/>
        <w:jc w:val="both"/>
        <w:rPr>
          <w:rFonts w:ascii="Sylfaen" w:eastAsia="Times New Roman" w:hAnsi="Sylfaen" w:cs="Arial"/>
          <w:b/>
          <w:sz w:val="24"/>
          <w:szCs w:val="24"/>
          <w:shd w:val="clear" w:color="auto" w:fill="FFFFFF"/>
          <w:lang w:eastAsia="en-GB"/>
        </w:rPr>
      </w:pPr>
    </w:p>
    <w:p w:rsidR="009C5B2F" w:rsidRDefault="009C5B2F" w:rsidP="009C5B2F">
      <w:pPr>
        <w:spacing w:after="0"/>
        <w:jc w:val="both"/>
        <w:rPr>
          <w:rFonts w:ascii="Sylfaen" w:eastAsia="Times New Roman" w:hAnsi="Sylfaen" w:cs="Arial"/>
          <w:b/>
          <w:sz w:val="24"/>
          <w:szCs w:val="24"/>
          <w:shd w:val="clear" w:color="auto" w:fill="FFFFFF"/>
          <w:lang w:eastAsia="en-GB"/>
        </w:rPr>
      </w:pPr>
      <w:r w:rsidRPr="009C5B2F">
        <w:rPr>
          <w:rFonts w:ascii="Sylfaen" w:eastAsia="Times New Roman" w:hAnsi="Sylfaen" w:cs="Arial"/>
          <w:b/>
          <w:sz w:val="24"/>
          <w:szCs w:val="24"/>
          <w:shd w:val="clear" w:color="auto" w:fill="FFFFFF"/>
          <w:lang w:eastAsia="en-GB"/>
        </w:rPr>
        <w:t xml:space="preserve">Ատելության հիմքով հանցագործություններ </w:t>
      </w:r>
    </w:p>
    <w:p w:rsidR="00FF6497" w:rsidRPr="009C5B2F" w:rsidRDefault="00FF6497" w:rsidP="009C5B2F">
      <w:pPr>
        <w:spacing w:after="0"/>
        <w:jc w:val="both"/>
        <w:rPr>
          <w:rFonts w:ascii="Sylfaen" w:eastAsia="Times New Roman" w:hAnsi="Sylfaen" w:cs="Arial"/>
          <w:b/>
          <w:sz w:val="24"/>
          <w:szCs w:val="24"/>
          <w:shd w:val="clear" w:color="auto" w:fill="FFFFFF"/>
          <w:lang w:eastAsia="en-GB"/>
        </w:rPr>
      </w:pPr>
    </w:p>
    <w:p w:rsidR="009C5B2F" w:rsidRPr="009C5B2F" w:rsidRDefault="009C5B2F" w:rsidP="009C5B2F">
      <w:pPr>
        <w:spacing w:after="0"/>
        <w:jc w:val="both"/>
        <w:rPr>
          <w:rFonts w:ascii="Sylfaen" w:eastAsia="Times New Roman" w:hAnsi="Sylfaen" w:cs="Arial"/>
          <w:sz w:val="24"/>
          <w:szCs w:val="24"/>
          <w:shd w:val="clear" w:color="auto" w:fill="FFFFFF"/>
          <w:lang w:eastAsia="en-GB"/>
        </w:rPr>
      </w:pPr>
      <w:r w:rsidRPr="009C5B2F">
        <w:rPr>
          <w:rFonts w:ascii="Sylfaen" w:eastAsia="Times New Roman" w:hAnsi="Sylfaen" w:cs="Arial"/>
          <w:sz w:val="24"/>
          <w:szCs w:val="24"/>
          <w:shd w:val="clear" w:color="auto" w:fill="FFFFFF"/>
          <w:lang w:eastAsia="en-GB"/>
        </w:rPr>
        <w:t xml:space="preserve">«Ատելության հիմքով հանցագործությունները», ինչպես սահմանված են </w:t>
      </w:r>
      <w:hyperlink r:id="rId10" w:history="1">
        <w:r w:rsidRPr="009C5B2F">
          <w:rPr>
            <w:rFonts w:ascii="Sylfaen" w:eastAsia="Times New Roman" w:hAnsi="Sylfaen" w:cs="Arial"/>
            <w:color w:val="0000FF"/>
            <w:sz w:val="24"/>
            <w:szCs w:val="24"/>
            <w:u w:val="single"/>
            <w:shd w:val="clear" w:color="auto" w:fill="FFFFFF"/>
            <w:lang w:eastAsia="en-GB"/>
          </w:rPr>
          <w:t xml:space="preserve">ԵԱՀԿ նախարարական խորհդի «Ատելության հիմքով հանցագործությունների դեմ պայքարի վերաբերյալ» թիվ 9/09 որոշմամբ </w:t>
        </w:r>
      </w:hyperlink>
      <w:r w:rsidRPr="009C5B2F">
        <w:rPr>
          <w:rFonts w:ascii="Sylfaen" w:eastAsia="Times New Roman" w:hAnsi="Sylfaen" w:cs="Arial"/>
          <w:sz w:val="24"/>
          <w:szCs w:val="24"/>
          <w:shd w:val="clear" w:color="auto" w:fill="FFFFFF"/>
          <w:lang w:eastAsia="en-GB"/>
        </w:rPr>
        <w:t xml:space="preserve"> (Աթենք, 2009թ. դեկտեմբերի 2), «կանխակալությամբ կատարված քրեական հանցագործություններ են»: </w:t>
      </w:r>
    </w:p>
    <w:p w:rsidR="009C5B2F" w:rsidRPr="009C5B2F" w:rsidRDefault="009C5B2F" w:rsidP="009C5B2F">
      <w:pPr>
        <w:spacing w:after="0"/>
        <w:jc w:val="both"/>
        <w:rPr>
          <w:rFonts w:ascii="Sylfaen" w:eastAsia="Times New Roman" w:hAnsi="Sylfaen" w:cs="Arial"/>
          <w:sz w:val="24"/>
          <w:szCs w:val="24"/>
          <w:lang w:eastAsia="en-GB"/>
        </w:rPr>
      </w:pPr>
    </w:p>
    <w:p w:rsidR="009C5B2F" w:rsidRPr="009C5B2F" w:rsidRDefault="009C5B2F" w:rsidP="009C5B2F">
      <w:pPr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color w:val="000000"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color w:val="000000"/>
          <w:sz w:val="24"/>
          <w:szCs w:val="24"/>
          <w:lang w:eastAsia="en-GB"/>
        </w:rPr>
        <w:t xml:space="preserve">Ինչպես կարող ենք տեսնել, ատելության հիմքով հանցագործությունները հանցագործության այլ տեսակներից տարբերվում են հանցագործի դրդապատճառներով: </w:t>
      </w:r>
    </w:p>
    <w:p w:rsidR="009C5B2F" w:rsidRPr="009C5B2F" w:rsidRDefault="009C5B2F" w:rsidP="009C5B2F">
      <w:pPr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sz w:val="24"/>
          <w:szCs w:val="24"/>
          <w:lang w:eastAsia="en-GB"/>
        </w:rPr>
      </w:pPr>
    </w:p>
    <w:p w:rsidR="009C5B2F" w:rsidRPr="009C5B2F" w:rsidRDefault="009C5B2F" w:rsidP="009C5B2F">
      <w:pPr>
        <w:spacing w:after="0"/>
        <w:jc w:val="both"/>
        <w:rPr>
          <w:rFonts w:ascii="Sylfaen" w:eastAsia="Times New Roman" w:hAnsi="Sylfaen" w:cs="Arial"/>
          <w:sz w:val="24"/>
          <w:szCs w:val="24"/>
          <w:shd w:val="clear" w:color="auto" w:fill="FFFFFF"/>
          <w:lang w:eastAsia="en-GB"/>
        </w:rPr>
      </w:pPr>
      <w:r w:rsidRPr="009C5B2F">
        <w:rPr>
          <w:rFonts w:ascii="Sylfaen" w:eastAsia="Times New Roman" w:hAnsi="Sylfaen" w:cs="Arial"/>
          <w:sz w:val="24"/>
          <w:szCs w:val="24"/>
          <w:shd w:val="clear" w:color="auto" w:fill="FFFFFF"/>
          <w:lang w:eastAsia="en-GB"/>
        </w:rPr>
        <w:t xml:space="preserve">Որպեսզի քրեական գործողությունն որակվի ատելության հիմքով հանցագործություն, պետք է համապատասխանի այս երկու չափանիշներին` </w:t>
      </w:r>
    </w:p>
    <w:p w:rsidR="009C5B2F" w:rsidRPr="009C5B2F" w:rsidRDefault="009C5B2F" w:rsidP="009C5B2F">
      <w:pPr>
        <w:numPr>
          <w:ilvl w:val="0"/>
          <w:numId w:val="1"/>
        </w:numPr>
        <w:spacing w:after="0"/>
        <w:contextualSpacing/>
        <w:jc w:val="both"/>
        <w:rPr>
          <w:rFonts w:ascii="Sylfaen" w:eastAsia="Times New Roman" w:hAnsi="Sylfaen" w:cs="Arial"/>
          <w:sz w:val="24"/>
          <w:szCs w:val="24"/>
          <w:shd w:val="clear" w:color="auto" w:fill="FFFFFF"/>
          <w:lang w:eastAsia="en-GB"/>
        </w:rPr>
      </w:pPr>
      <w:r w:rsidRPr="009C5B2F">
        <w:rPr>
          <w:rFonts w:ascii="Sylfaen" w:eastAsia="Times New Roman" w:hAnsi="Sylfaen" w:cs="Arial"/>
          <w:sz w:val="24"/>
          <w:szCs w:val="24"/>
          <w:shd w:val="clear" w:color="auto" w:fill="FFFFFF"/>
          <w:lang w:eastAsia="en-GB"/>
        </w:rPr>
        <w:t>գործողությունը պետք է հանցագործություն համարվի այն երկրի քրեական օրենսգրքով, որտեղ, որ այն կատարվել է,</w:t>
      </w:r>
    </w:p>
    <w:p w:rsidR="009C5B2F" w:rsidRPr="009C5B2F" w:rsidRDefault="009C5B2F" w:rsidP="009C5B2F">
      <w:pPr>
        <w:numPr>
          <w:ilvl w:val="0"/>
          <w:numId w:val="1"/>
        </w:numPr>
        <w:spacing w:after="0"/>
        <w:contextualSpacing/>
        <w:jc w:val="both"/>
        <w:rPr>
          <w:rFonts w:ascii="Sylfaen" w:eastAsia="Times New Roman" w:hAnsi="Sylfaen" w:cs="Arial"/>
          <w:sz w:val="24"/>
          <w:szCs w:val="24"/>
          <w:shd w:val="clear" w:color="auto" w:fill="FFFFFF"/>
          <w:lang w:eastAsia="en-GB"/>
        </w:rPr>
      </w:pPr>
      <w:r w:rsidRPr="009C5B2F">
        <w:rPr>
          <w:rFonts w:ascii="Sylfaen" w:eastAsia="Times New Roman" w:hAnsi="Sylfaen" w:cs="Arial"/>
          <w:sz w:val="24"/>
          <w:szCs w:val="24"/>
          <w:shd w:val="clear" w:color="auto" w:fill="FFFFFF"/>
          <w:lang w:eastAsia="en-GB"/>
        </w:rPr>
        <w:t xml:space="preserve">հանցագործությունը պետք է իրականացված լինի կանխակալ դրդապատճառներով: </w:t>
      </w:r>
    </w:p>
    <w:p w:rsidR="009C5B2F" w:rsidRPr="009C5B2F" w:rsidRDefault="009C5B2F" w:rsidP="009C5B2F">
      <w:pPr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sz w:val="24"/>
          <w:szCs w:val="24"/>
          <w:lang w:eastAsia="en-GB"/>
        </w:rPr>
        <w:br/>
      </w:r>
      <w:r w:rsidRPr="009C5B2F">
        <w:rPr>
          <w:rFonts w:ascii="Sylfaen" w:eastAsia="Times New Roman" w:hAnsi="Sylfaen" w:cs="Arial"/>
          <w:sz w:val="24"/>
          <w:szCs w:val="24"/>
          <w:shd w:val="clear" w:color="auto" w:fill="FFFFFF"/>
          <w:lang w:eastAsia="en-GB"/>
        </w:rPr>
        <w:t xml:space="preserve">«Կանխակալ դրդապատճառ» նշանակում է, որ հանցագործը հանցագործության </w:t>
      </w:r>
      <w:r w:rsidRPr="009C5B2F">
        <w:rPr>
          <w:rFonts w:ascii="Sylfaen" w:eastAsia="Times New Roman" w:hAnsi="Sylfaen" w:cs="Arial"/>
          <w:sz w:val="24"/>
          <w:szCs w:val="24"/>
          <w:shd w:val="clear" w:color="auto" w:fill="FFFFFF"/>
          <w:lang w:eastAsia="en-GB"/>
        </w:rPr>
        <w:lastRenderedPageBreak/>
        <w:t>թիրախն ընտրում է որոշակի հատկանիշներով պայմանավորված: Ատելության հիմքով հանցագործության թիրախը կարող է լինել անձը, ժողովուրդը կամ մեկ կամ ավելի ընդհանուր հատկանիշներ ունեցող խմբի հետ կապված գույքը: Ատելության հիմքով հանցագործությունը կարող է արտահայտվել ահաբեկման, սպառնալիքների, գույքային վնասի, հարձակման, սպանության կամ ցանկացած այլ քրեական հանցագործության ձևով: Կանխակալությունը հանցագործությունը դարձնում է ավելի ծանրացուցիչ, քանի որ անմիջական զոհի նկատմամբ հանցագործություն  կատարելով, հանցագործը ուղերձ է հղում նույն հատկանիշներն ունեցող անձանց խմբին:</w:t>
      </w:r>
      <w:r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  </w:t>
      </w:r>
    </w:p>
    <w:p w:rsidR="009C5B2F" w:rsidRPr="009C5B2F" w:rsidRDefault="009C5B2F" w:rsidP="009C5B2F">
      <w:pPr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bCs/>
          <w:sz w:val="24"/>
          <w:szCs w:val="24"/>
          <w:lang w:eastAsia="en-GB"/>
        </w:rPr>
      </w:pPr>
    </w:p>
    <w:p w:rsidR="009C5B2F" w:rsidRPr="009C5B2F" w:rsidRDefault="009C5B2F" w:rsidP="009C5B2F">
      <w:pPr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bCs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bCs/>
          <w:sz w:val="24"/>
          <w:szCs w:val="24"/>
          <w:lang w:eastAsia="en-GB"/>
        </w:rPr>
        <w:t>Ինչպես արդարացիորեն նշվում է ԵԱՀԿ «Ատելության հիմքով հանցագործությունների մասին օրենքի ուղեցույցում»,</w:t>
      </w:r>
    </w:p>
    <w:p w:rsidR="009C5B2F" w:rsidRPr="009C5B2F" w:rsidRDefault="009C5B2F" w:rsidP="009C5B2F">
      <w:pPr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color w:val="000000"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bCs/>
          <w:i/>
          <w:sz w:val="24"/>
          <w:szCs w:val="24"/>
          <w:lang w:eastAsia="en-GB"/>
        </w:rPr>
        <w:t>«ատելության հիմքով հանցագործություններն անհանդուրժողականության բռնի դրսևորումներ են և խորապես ազդում են ոչ միայն անմիջական զոհի, այլ նաև այն խմբի վրա, որի հետ զոհն ինքն իրեն նույնականացնում էր»:</w:t>
      </w:r>
      <w:r w:rsidRPr="009C5B2F">
        <w:rPr>
          <w:rFonts w:ascii="Sylfaen" w:eastAsia="Times New Roman" w:hAnsi="Sylfaen" w:cs="Arial"/>
          <w:i/>
          <w:color w:val="000000"/>
          <w:sz w:val="24"/>
          <w:szCs w:val="24"/>
          <w:lang w:eastAsia="en-GB"/>
        </w:rPr>
        <w:t xml:space="preserve"> «Որևէ անձի ինքնությունը թիրախ դարձնելով` ատելության հիմքով հանցագործություններն ավելի մեծ վնաս են պատճառում, քան սովորական հանցագործությունները: Անմիջական զոհը կարող է ստանալ մեծ հոգեբանական վնասվածքներ և խոցելիության ավելի մեծ զգացում, քանի որ նա չի կարող  փոխել այն հատկանիշը, որը նրան զոհ է դարձրել: Ատելության հիմքով հանցագործութուններն ավելի խորը հոգեբանական ազդեցություն ունեն զոհերի վրա` առաջացնելով ընկճախտի և տագնապի զգացումներ: </w:t>
      </w:r>
    </w:p>
    <w:p w:rsidR="009C5B2F" w:rsidRPr="009C5B2F" w:rsidRDefault="009C5B2F" w:rsidP="009C5B2F">
      <w:pPr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b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color w:val="000000"/>
          <w:sz w:val="24"/>
          <w:szCs w:val="24"/>
          <w:lang w:eastAsia="en-GB"/>
        </w:rPr>
        <w:t xml:space="preserve">(տե´ս, </w:t>
      </w:r>
      <w:hyperlink r:id="rId11" w:history="1">
        <w:r w:rsidRPr="009C5B2F">
          <w:rPr>
            <w:rFonts w:ascii="Sylfaen" w:eastAsia="Times New Roman" w:hAnsi="Sylfaen" w:cs="Arial"/>
            <w:color w:val="0000FF"/>
            <w:sz w:val="24"/>
            <w:szCs w:val="24"/>
            <w:u w:val="single"/>
            <w:lang w:eastAsia="en-GB"/>
          </w:rPr>
          <w:t>Hate Crime Laws: A Practical Guide</w:t>
        </w:r>
      </w:hyperlink>
      <w:r w:rsidRPr="009C5B2F">
        <w:rPr>
          <w:rFonts w:ascii="Sylfaen" w:eastAsia="Times New Roman" w:hAnsi="Sylfaen" w:cs="Arial"/>
          <w:color w:val="000000"/>
          <w:sz w:val="24"/>
          <w:szCs w:val="24"/>
          <w:lang w:eastAsia="en-GB"/>
        </w:rPr>
        <w:t xml:space="preserve"> Հրատարակվել է ԵԱՀԿ Ժողովրդավարական ինստիտուտների և մարդու իրավունքների գրասենյակի </w:t>
      </w:r>
      <w:r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(ԺԻՄԻԳ) կողմից www.osce.org/odihr) </w:t>
      </w:r>
    </w:p>
    <w:p w:rsidR="009C5B2F" w:rsidRPr="009C5B2F" w:rsidRDefault="009C5B2F" w:rsidP="009C5B2F">
      <w:pPr>
        <w:spacing w:after="0"/>
        <w:jc w:val="both"/>
        <w:rPr>
          <w:rFonts w:ascii="Sylfaen" w:eastAsia="Times New Roman" w:hAnsi="Sylfaen" w:cs="Arial"/>
          <w:sz w:val="24"/>
          <w:szCs w:val="24"/>
          <w:lang w:eastAsia="en-GB"/>
        </w:rPr>
      </w:pPr>
    </w:p>
    <w:p w:rsidR="009C5B2F" w:rsidRPr="009C5B2F" w:rsidRDefault="009C5B2F" w:rsidP="009C5B2F">
      <w:pPr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color w:val="000000"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ԵԱՀԿ ուղեցույցը տարբերակում է կատարում ատելության հիմքով հանցագործությունների, ատելության քարոզման և ոչ բռնի խտրականության միջև: Ընդհանուր առմամբ, ատելության հիմքով հանցագործությունների մասին օրենքները չեն ներառում պատիժներ խտրականության համար, քանի որ չկա քրեական հիմքով հանցանք, այսպիսով, ատելության հիմքով հանցագործության առաջին կարևոր տարրը բացակայում է: Այնուամենայնիվ, որոշ իրավազորություններ քրեականացրել են քարոզումն իր հատուկ բովանդակության պատճառով </w:t>
      </w:r>
      <w:r w:rsidRPr="009C5B2F">
        <w:rPr>
          <w:rFonts w:ascii="Sylfaen" w:eastAsia="Times New Roman" w:hAnsi="Sylfaen" w:cs="Arial"/>
          <w:color w:val="000000"/>
          <w:sz w:val="24"/>
          <w:szCs w:val="24"/>
          <w:lang w:eastAsia="en-GB"/>
        </w:rPr>
        <w:t>(օրինակ` ատելության հրահրումը, Հոլոքոստի ժխտումը կամ նացիստական   գաղափարախոսության փառաբանումը</w:t>
      </w:r>
      <w:r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): </w:t>
      </w:r>
    </w:p>
    <w:p w:rsidR="009C5B2F" w:rsidRPr="009C5B2F" w:rsidRDefault="009C5B2F" w:rsidP="009C5B2F">
      <w:pPr>
        <w:spacing w:after="0"/>
        <w:jc w:val="both"/>
        <w:rPr>
          <w:rFonts w:ascii="Sylfaen" w:eastAsia="Times New Roman" w:hAnsi="Sylfaen" w:cs="Arial"/>
          <w:sz w:val="24"/>
          <w:szCs w:val="24"/>
          <w:lang w:eastAsia="en-GB"/>
        </w:rPr>
      </w:pPr>
    </w:p>
    <w:p w:rsidR="009C5B2F" w:rsidRPr="009C5B2F" w:rsidRDefault="009C5B2F" w:rsidP="009C5B2F">
      <w:pPr>
        <w:spacing w:after="0"/>
        <w:jc w:val="both"/>
        <w:rPr>
          <w:rFonts w:ascii="Sylfaen" w:eastAsia="Times New Roman" w:hAnsi="Sylfaen" w:cs="Arial"/>
          <w:sz w:val="24"/>
          <w:szCs w:val="24"/>
          <w:shd w:val="clear" w:color="auto" w:fill="FFFFFF"/>
          <w:lang w:eastAsia="en-GB"/>
        </w:rPr>
      </w:pPr>
      <w:r w:rsidRPr="009C5B2F">
        <w:rPr>
          <w:rFonts w:ascii="Sylfaen" w:eastAsia="Times New Roman" w:hAnsi="Sylfaen" w:cs="Arial"/>
          <w:sz w:val="24"/>
          <w:szCs w:val="24"/>
          <w:shd w:val="clear" w:color="auto" w:fill="FFFFFF"/>
          <w:lang w:eastAsia="en-GB"/>
        </w:rPr>
        <w:t xml:space="preserve">Ատելության հիմքով հանցագործությունների լրջությունը և անդամ պետությունների կողմից դրանք կանգնեցնելուն ուղղված գործողությունների ձեռնարկման պարտականոթյունն ընդգծվել է ՄԻԵԴ-ի կողմից: Մեծ պալատի </w:t>
      </w:r>
      <w:r w:rsidRPr="009C5B2F">
        <w:rPr>
          <w:rFonts w:ascii="Sylfaen" w:eastAsia="Times New Roman" w:hAnsi="Sylfaen" w:cs="Arial"/>
          <w:i/>
          <w:sz w:val="24"/>
          <w:szCs w:val="24"/>
          <w:shd w:val="clear" w:color="auto" w:fill="FFFFFF"/>
          <w:lang w:eastAsia="en-GB"/>
        </w:rPr>
        <w:t>Նաչովան ընդդեմ Բուլղարիայ</w:t>
      </w:r>
      <w:bookmarkStart w:id="0" w:name="(2)"/>
      <w:r w:rsidRPr="009C5B2F">
        <w:rPr>
          <w:rFonts w:ascii="Sylfaen" w:eastAsia="Times New Roman" w:hAnsi="Sylfaen" w:cs="Arial"/>
          <w:i/>
          <w:sz w:val="24"/>
          <w:szCs w:val="24"/>
          <w:shd w:val="clear" w:color="auto" w:fill="FFFFFF"/>
          <w:lang w:eastAsia="en-GB"/>
        </w:rPr>
        <w:t xml:space="preserve">ի </w:t>
      </w:r>
      <w:r w:rsidRPr="009C5B2F">
        <w:rPr>
          <w:rFonts w:ascii="Sylfaen" w:eastAsia="Times New Roman" w:hAnsi="Sylfaen" w:cs="Arial"/>
          <w:sz w:val="24"/>
          <w:szCs w:val="24"/>
          <w:shd w:val="clear" w:color="auto" w:fill="FFFFFF"/>
          <w:lang w:eastAsia="en-GB"/>
        </w:rPr>
        <w:t> </w:t>
      </w:r>
      <w:bookmarkEnd w:id="0"/>
      <w:r w:rsidRPr="009C5B2F">
        <w:rPr>
          <w:rFonts w:ascii="Sylfaen" w:eastAsia="Times New Roman" w:hAnsi="Sylfaen" w:cs="Arial"/>
          <w:sz w:val="24"/>
          <w:szCs w:val="24"/>
          <w:shd w:val="clear" w:color="auto" w:fill="FFFFFF"/>
          <w:lang w:eastAsia="en-GB"/>
        </w:rPr>
        <w:t>[</w:t>
      </w:r>
      <w:hyperlink r:id="rId12" w:history="1">
        <w:r w:rsidRPr="009C5B2F">
          <w:rPr>
            <w:rFonts w:ascii="Sylfaen" w:eastAsia="Times New Roman" w:hAnsi="Sylfaen" w:cs="Arial"/>
            <w:i/>
            <w:color w:val="0000FF"/>
            <w:sz w:val="24"/>
            <w:szCs w:val="24"/>
            <w:u w:val="single"/>
            <w:lang w:val="en-GB" w:eastAsia="en-GB"/>
          </w:rPr>
          <w:t>Nachova v. Bulgaria</w:t>
        </w:r>
      </w:hyperlink>
      <w:r w:rsidRPr="009C5B2F">
        <w:rPr>
          <w:rFonts w:ascii="Sylfaen" w:eastAsia="Times New Roman" w:hAnsi="Sylfaen" w:cs="Arial"/>
          <w:sz w:val="24"/>
          <w:szCs w:val="24"/>
          <w:shd w:val="clear" w:color="auto" w:fill="FFFFFF"/>
          <w:lang w:eastAsia="en-GB"/>
        </w:rPr>
        <w:t>]  գործով կայացրած վճռում, Դատարանը, օրինակ, ընդգծել է ռասայական դրդապատճառներով իրականացված բռնությունների դեպքում արդյունավետ հետաքննության կարևորությունը  և անդամ պետության կողմից բոլոր ողջամիտ քայլերը ձեռնարկելու պարտականությունը պարզելու համար, թե արդյոք էթնիկական ատելությունը կամ նախապաշարումը դերակատարում են ունեցել այդ իրադարձություններում:</w:t>
      </w:r>
    </w:p>
    <w:p w:rsidR="009C5B2F" w:rsidRPr="009C5B2F" w:rsidRDefault="009C5B2F" w:rsidP="009C5B2F">
      <w:pPr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sz w:val="24"/>
          <w:szCs w:val="24"/>
          <w:lang w:eastAsia="en-GB"/>
        </w:rPr>
      </w:pPr>
    </w:p>
    <w:p w:rsidR="009C5B2F" w:rsidRPr="009C5B2F" w:rsidRDefault="009C5B2F" w:rsidP="009C5B2F">
      <w:pPr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Քանի դեռ ՄԻԵԴ-ը չի պահանջել ատելության հիմքով հանցագործությունների նկատմամբ հատուկ օրենսդրության ներդնում, այն բացահայտ կերպով ընդունում է, որ ատելության հիմքով հանցագործությունները պետք է ստանան քրեական արդարադատության արձագանքը` պատճառված վնասներին համարժեք:  Այսպիսով, </w:t>
      </w:r>
      <w:r w:rsidRPr="009C5B2F">
        <w:rPr>
          <w:rFonts w:ascii="Sylfaen" w:eastAsia="Times New Roman" w:hAnsi="Sylfaen" w:cs="Arial"/>
          <w:i/>
          <w:sz w:val="24"/>
          <w:szCs w:val="24"/>
          <w:lang w:eastAsia="en-GB"/>
        </w:rPr>
        <w:t>Սեչիչն ընդդեմ Խորվաթիայի [</w:t>
      </w:r>
      <w:hyperlink r:id="rId13" w:history="1">
        <w:r w:rsidRPr="009C5B2F">
          <w:rPr>
            <w:rFonts w:ascii="Sylfaen" w:eastAsia="Times New Roman" w:hAnsi="Sylfaen" w:cs="Arial"/>
            <w:i/>
            <w:iCs/>
            <w:color w:val="0000FF"/>
            <w:sz w:val="24"/>
            <w:szCs w:val="24"/>
            <w:u w:val="single"/>
            <w:lang w:eastAsia="en-GB"/>
          </w:rPr>
          <w:t>Secic v. Croatia</w:t>
        </w:r>
      </w:hyperlink>
      <w:r w:rsidRPr="009C5B2F">
        <w:rPr>
          <w:rFonts w:ascii="Sylfaen" w:eastAsia="Times New Roman" w:hAnsi="Sylfaen" w:cs="Times New Roman"/>
          <w:sz w:val="24"/>
          <w:szCs w:val="24"/>
          <w:lang w:val="en-GB" w:eastAsia="en-GB"/>
        </w:rPr>
        <w:t>]</w:t>
      </w:r>
      <w:r w:rsidRPr="009C5B2F">
        <w:rPr>
          <w:rFonts w:ascii="Sylfaen" w:eastAsia="Times New Roman" w:hAnsi="Sylfaen" w:cs="Arial"/>
          <w:i/>
          <w:iCs/>
          <w:sz w:val="24"/>
          <w:szCs w:val="24"/>
          <w:lang w:eastAsia="en-GB"/>
        </w:rPr>
        <w:t xml:space="preserve"> </w:t>
      </w:r>
      <w:r w:rsidRPr="009C5B2F">
        <w:rPr>
          <w:rFonts w:ascii="Sylfaen" w:eastAsia="Times New Roman" w:hAnsi="Sylfaen" w:cs="Arial"/>
          <w:iCs/>
          <w:sz w:val="24"/>
          <w:szCs w:val="24"/>
          <w:lang w:eastAsia="en-GB"/>
        </w:rPr>
        <w:t>(դիմում թիվ 40116/02)</w:t>
      </w:r>
      <w:r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2007թ.մայիսի 31, կետ 66) գործում ՄԻԵԴԸ հիշեցրել է, որ </w:t>
      </w:r>
    </w:p>
    <w:p w:rsidR="009C5B2F" w:rsidRPr="009C5B2F" w:rsidRDefault="009C5B2F" w:rsidP="009C5B2F">
      <w:pPr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i/>
          <w:iCs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i/>
          <w:iCs/>
          <w:sz w:val="24"/>
          <w:szCs w:val="24"/>
          <w:lang w:eastAsia="en-GB"/>
        </w:rPr>
        <w:t xml:space="preserve">«… </w:t>
      </w:r>
      <w:r w:rsidRPr="009C5B2F">
        <w:rPr>
          <w:rFonts w:ascii="Sylfaen" w:eastAsia="Times New Roman" w:hAnsi="Sylfaen" w:cs="Arial"/>
          <w:i/>
          <w:sz w:val="24"/>
          <w:szCs w:val="24"/>
          <w:lang w:val="en-GB" w:eastAsia="en-GB"/>
        </w:rPr>
        <w:t xml:space="preserve">Բռնության միջադեպերը հետաքննելիս պետական իշխանություններն ունեն </w:t>
      </w:r>
      <w:r w:rsidRPr="00905E80">
        <w:rPr>
          <w:rFonts w:ascii="Sylfaen" w:eastAsia="Times New Roman" w:hAnsi="Sylfaen" w:cs="Arial"/>
          <w:i/>
          <w:sz w:val="24"/>
          <w:szCs w:val="24"/>
          <w:highlight w:val="yellow"/>
          <w:lang w:val="en-GB" w:eastAsia="en-GB"/>
        </w:rPr>
        <w:t>լրացուցիչ</w:t>
      </w:r>
      <w:r w:rsidRPr="009C5B2F">
        <w:rPr>
          <w:rFonts w:ascii="Sylfaen" w:eastAsia="Times New Roman" w:hAnsi="Sylfaen" w:cs="Arial"/>
          <w:i/>
          <w:sz w:val="24"/>
          <w:szCs w:val="24"/>
          <w:lang w:val="en-GB" w:eastAsia="en-GB"/>
        </w:rPr>
        <w:t xml:space="preserve">   </w:t>
      </w:r>
      <w:bookmarkStart w:id="1" w:name="_GoBack"/>
      <w:bookmarkEnd w:id="1"/>
      <w:r w:rsidRPr="00905E80">
        <w:rPr>
          <w:rFonts w:ascii="Sylfaen" w:eastAsia="Times New Roman" w:hAnsi="Sylfaen" w:cs="Arial"/>
          <w:i/>
          <w:sz w:val="24"/>
          <w:szCs w:val="24"/>
          <w:highlight w:val="yellow"/>
          <w:lang w:val="en-GB" w:eastAsia="en-GB"/>
        </w:rPr>
        <w:t>պարտականություն</w:t>
      </w:r>
      <w:r w:rsidRPr="009C5B2F">
        <w:rPr>
          <w:rFonts w:ascii="Sylfaen" w:eastAsia="Times New Roman" w:hAnsi="Sylfaen" w:cs="Arial"/>
          <w:i/>
          <w:sz w:val="24"/>
          <w:szCs w:val="24"/>
          <w:lang w:val="en-GB" w:eastAsia="en-GB"/>
        </w:rPr>
        <w:t xml:space="preserve"> ձեռնարկելու բոլոր ողջամիտ քայլերը ռասիստական դրդապատճառները բացահայտելու համար և պարզելու, թե արդյոք էթնիկական ատելությունը կամ նախապաշարումները կարող էին դերակատարում ունենալ այդ իրադարձությունների ժամանակ: Այս պարտականության չկատարումը և ռասայական դրդապատճառներով բռնությունների և դաժանությունների նկատմամբ առանց ռասայական հիմքի գործերի նման վերաբերմունքի ցուցաբերումը նշանակում է աչք փակել առանձնահատուկ բնույթի գործողությունների վրա, որոնք հատկապես կործանարար են հիմնարար իրավունքների համար»: </w:t>
      </w:r>
    </w:p>
    <w:p w:rsidR="009C5B2F" w:rsidRPr="009C5B2F" w:rsidRDefault="009C5B2F" w:rsidP="009C5B2F">
      <w:pPr>
        <w:autoSpaceDE w:val="0"/>
        <w:autoSpaceDN w:val="0"/>
        <w:adjustRightInd w:val="0"/>
        <w:spacing w:after="0"/>
        <w:rPr>
          <w:rFonts w:ascii="Sylfaen" w:eastAsia="Times New Roman" w:hAnsi="Sylfaen" w:cs="Arial"/>
          <w:sz w:val="24"/>
          <w:szCs w:val="24"/>
          <w:lang w:eastAsia="en-GB"/>
        </w:rPr>
      </w:pPr>
    </w:p>
    <w:p w:rsidR="009C5B2F" w:rsidRPr="009C5B2F" w:rsidRDefault="009C5B2F" w:rsidP="009C5B2F">
      <w:pPr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sz w:val="24"/>
          <w:szCs w:val="24"/>
          <w:shd w:val="clear" w:color="auto" w:fill="FFFFFF"/>
          <w:lang w:eastAsia="en-GB"/>
        </w:rPr>
      </w:pPr>
      <w:r w:rsidRPr="009C5B2F">
        <w:rPr>
          <w:rFonts w:ascii="Sylfaen" w:eastAsia="Times New Roman" w:hAnsi="Sylfaen" w:cs="Arial"/>
          <w:sz w:val="24"/>
          <w:szCs w:val="24"/>
          <w:lang w:eastAsia="en-GB"/>
        </w:rPr>
        <w:t>Որոշակի հատկանիշների ցանկը կարող է տարբեր լինել տարբեր երկրներում, սակայն ՄԻԵԴ-ը չի պարտավորվում ներպետական նախադեպային իրավունքով և օրենսդրությամբ:</w:t>
      </w:r>
      <w:r w:rsidRPr="009C5B2F">
        <w:rPr>
          <w:rFonts w:ascii="Sylfaen" w:eastAsia="Times New Roman" w:hAnsi="Sylfaen" w:cs="Arial"/>
          <w:sz w:val="24"/>
          <w:szCs w:val="24"/>
          <w:shd w:val="clear" w:color="auto" w:fill="FFFFFF"/>
          <w:lang w:eastAsia="en-GB"/>
        </w:rPr>
        <w:t xml:space="preserve">  Օրինակ`ԼԳԵՓ անձանց նկատմամբ ատելության հիմքով հանցագործությունների զոհերն իրենց իրավունքները վերականգնում են ՄԻԵԴ-ի միջոցով, երբ իրենց ներպետական օրենսդրությունները սեռական կողմնորոշումը չեն ընդունել որպես խտրականության արգելված հիմք: </w:t>
      </w:r>
    </w:p>
    <w:p w:rsidR="009C5B2F" w:rsidRPr="009C5B2F" w:rsidRDefault="009C5B2F" w:rsidP="009C5B2F">
      <w:pPr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color w:val="000000"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i/>
          <w:sz w:val="24"/>
          <w:szCs w:val="24"/>
          <w:lang w:eastAsia="en-GB"/>
        </w:rPr>
        <w:t xml:space="preserve">« «Ատելության հիմքով հանցագործությունը» կամ «կանխակալ հանցագործություն» եզրույթները, հետևաբար, ավելի շուտ նկարագրում են հանցագործության տեսակ, </w:t>
      </w:r>
      <w:r w:rsidRPr="009C5B2F">
        <w:rPr>
          <w:rFonts w:ascii="Sylfaen" w:eastAsia="Times New Roman" w:hAnsi="Sylfaen" w:cs="Arial"/>
          <w:i/>
          <w:sz w:val="24"/>
          <w:szCs w:val="24"/>
          <w:lang w:eastAsia="en-GB"/>
        </w:rPr>
        <w:lastRenderedPageBreak/>
        <w:t xml:space="preserve">քան որոշակի հանցանք քրեական օրենսգրքի շրջանակներում:  Ատելության հիմքով հանցագործություն հնարավոր է իրականացնել մի երկրում, ուր չկա որոշակի քրեական պատժամիջոց կանխակալության կամ նախապաշարումների դեմ: Եզրույթն ավելի շուտ ներկայացնում է հասկացություն, քան տալիս իրավական սահմանում»: </w:t>
      </w:r>
    </w:p>
    <w:p w:rsidR="009C5B2F" w:rsidRPr="009C5B2F" w:rsidRDefault="009C5B2F" w:rsidP="009C5B2F">
      <w:pPr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sz w:val="24"/>
          <w:szCs w:val="24"/>
          <w:lang w:eastAsia="en-GB"/>
        </w:rPr>
      </w:pPr>
      <w:r w:rsidRPr="009C5B2F">
        <w:rPr>
          <w:rFonts w:ascii="Sylfaen" w:eastAsia="Times New Roman" w:hAnsi="Sylfaen" w:cs="Arial"/>
          <w:color w:val="000000"/>
          <w:sz w:val="24"/>
          <w:szCs w:val="24"/>
          <w:lang w:eastAsia="en-GB"/>
        </w:rPr>
        <w:t xml:space="preserve">(տե´ս,  </w:t>
      </w:r>
      <w:hyperlink r:id="rId14" w:history="1">
        <w:r w:rsidRPr="009C5B2F">
          <w:rPr>
            <w:rFonts w:ascii="Sylfaen" w:eastAsia="Times New Roman" w:hAnsi="Sylfaen" w:cs="Arial"/>
            <w:color w:val="0000FF"/>
            <w:sz w:val="24"/>
            <w:szCs w:val="24"/>
            <w:u w:val="single"/>
            <w:lang w:eastAsia="en-GB"/>
          </w:rPr>
          <w:t>Hate Crime Laws: A Practical Guide</w:t>
        </w:r>
      </w:hyperlink>
      <w:r w:rsidRPr="009C5B2F">
        <w:rPr>
          <w:rFonts w:ascii="Sylfaen" w:eastAsia="Times New Roman" w:hAnsi="Sylfaen" w:cs="Times New Roman"/>
          <w:sz w:val="24"/>
          <w:szCs w:val="24"/>
          <w:lang w:val="en-GB" w:eastAsia="en-GB"/>
        </w:rPr>
        <w:t xml:space="preserve"> </w:t>
      </w:r>
      <w:r w:rsidRPr="009C5B2F">
        <w:rPr>
          <w:rFonts w:ascii="Sylfaen" w:eastAsia="Times New Roman" w:hAnsi="Sylfaen" w:cs="Arial"/>
          <w:color w:val="000000"/>
          <w:sz w:val="24"/>
          <w:szCs w:val="24"/>
          <w:lang w:eastAsia="en-GB"/>
        </w:rPr>
        <w:t xml:space="preserve">Հրատարակվել է ԵԱՀԿ Ժողովրդավարական ինստիտուտների և մարդու իրավունքների գրասենյակի  </w:t>
      </w:r>
      <w:r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(ԺԻՄԻԳ)  կողմից </w:t>
      </w:r>
      <w:hyperlink r:id="rId15" w:history="1">
        <w:r w:rsidRPr="009C5B2F">
          <w:rPr>
            <w:rFonts w:ascii="Sylfaen" w:eastAsia="Times New Roman" w:hAnsi="Sylfaen" w:cs="Arial"/>
            <w:color w:val="0000FF"/>
            <w:sz w:val="24"/>
            <w:szCs w:val="24"/>
            <w:u w:val="single"/>
            <w:lang w:eastAsia="en-GB"/>
          </w:rPr>
          <w:t>www.osce.org/odihr</w:t>
        </w:r>
      </w:hyperlink>
      <w:r w:rsidRPr="009C5B2F">
        <w:rPr>
          <w:rFonts w:ascii="Sylfaen" w:eastAsia="Times New Roman" w:hAnsi="Sylfaen" w:cs="Arial"/>
          <w:sz w:val="24"/>
          <w:szCs w:val="24"/>
          <w:lang w:eastAsia="en-GB"/>
        </w:rPr>
        <w:t>)</w:t>
      </w:r>
    </w:p>
    <w:p w:rsidR="009C5B2F" w:rsidRPr="009C5B2F" w:rsidRDefault="009C5B2F" w:rsidP="009C5B2F">
      <w:pPr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sz w:val="24"/>
          <w:szCs w:val="24"/>
          <w:lang w:eastAsia="en-GB"/>
        </w:rPr>
      </w:pPr>
    </w:p>
    <w:p w:rsidR="009C5B2F" w:rsidRPr="009C5B2F" w:rsidRDefault="000C5A7C" w:rsidP="009C5B2F">
      <w:pPr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sz w:val="24"/>
          <w:szCs w:val="24"/>
          <w:lang w:eastAsia="en-GB"/>
        </w:rPr>
      </w:pPr>
      <w:hyperlink r:id="rId16" w:history="1">
        <w:r w:rsidR="009C5B2F" w:rsidRPr="009C5B2F">
          <w:rPr>
            <w:rFonts w:ascii="Sylfaen" w:eastAsia="Times New Roman" w:hAnsi="Sylfaen" w:cs="Arial"/>
            <w:color w:val="0000FF"/>
            <w:sz w:val="24"/>
            <w:szCs w:val="24"/>
            <w:u w:val="single"/>
            <w:lang w:eastAsia="en-GB"/>
          </w:rPr>
          <w:t>Հայաստանի Հանրապետության Քրեական օրենսգիրքը</w:t>
        </w:r>
      </w:hyperlink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ատելության քարոզումը քրեականացնում է 226-րդ հոդվածով, որը ներառում է ազգային, ռասայական կամ կրոնական թշնամանք հարուցելուն, ռասայական գերազանցությանը կամ ազգային արժանապատվությունը նվաստացնելուն ուղղված գործողություններ, որոնց համար օրենսգիրքը սահմանում է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տուգանք՝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նվազագույն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աշխատավարձի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երկուհարյուրապատիկից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հինգհարյուրապատիկի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չափով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,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կամ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ազատազրկմամբ՝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երկուսից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չորս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տարի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ժամկետով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: Իսկ եթե նույն գործողությունները ուղեկցվել են հրապարակայնորեն կամ լրատվական միջոցների օգտագործումով, բռնություն գործադրելով կամ դրա գործադրման սպառնալիքով կամ պաշտոնական դիրքի չարաշահումով, ինչպես նաև կազմակերպված խմբի կողմից, պատժվում է ազատազրկմամբ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երեքից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վեց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տարի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ժամկետով։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Բացի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այդ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,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բազմաթիվ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այլ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հանցագործությունների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համար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նշված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հիմքեր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ի զուգորդումը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ծանրացնող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հան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գամանք է։ Օրինակ, եթե սպանությունը կատարվել է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ազգային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,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ռասայական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կամ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կրոնական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ատելության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կամ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կրոնական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մոլեռանդության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 xml:space="preserve"> </w:t>
      </w:r>
      <w:r w:rsidR="009C5B2F" w:rsidRPr="009C5B2F">
        <w:rPr>
          <w:rFonts w:ascii="Sylfaen" w:eastAsia="Times New Roman" w:hAnsi="Sylfaen" w:cs="Arial"/>
          <w:sz w:val="24"/>
          <w:szCs w:val="24"/>
          <w:lang w:val="ru-RU" w:eastAsia="en-GB"/>
        </w:rPr>
        <w:t>շարժառիթով</w:t>
      </w:r>
      <w:r w:rsidR="009C5B2F" w:rsidRPr="009C5B2F">
        <w:rPr>
          <w:rFonts w:ascii="Sylfaen" w:eastAsia="Times New Roman" w:hAnsi="Sylfaen" w:cs="Arial"/>
          <w:sz w:val="24"/>
          <w:szCs w:val="24"/>
          <w:lang w:eastAsia="en-GB"/>
        </w:rPr>
        <w:t>, ապա վերջիններս նկատելիորեն բարձրացնում են արարքի հանրային վտանգավորությունը, որն էլ խստացնում է պատժաչափը։</w:t>
      </w:r>
    </w:p>
    <w:p w:rsidR="009C5B2F" w:rsidRPr="009C5B2F" w:rsidRDefault="009C5B2F" w:rsidP="009C5B2F">
      <w:pPr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b/>
          <w:sz w:val="24"/>
          <w:szCs w:val="24"/>
          <w:lang w:val="en-GB" w:eastAsia="en-GB"/>
        </w:rPr>
      </w:pPr>
      <w:r w:rsidRPr="009C5B2F">
        <w:rPr>
          <w:rFonts w:ascii="Sylfaen" w:eastAsia="Times New Roman" w:hAnsi="Sylfaen" w:cs="Arial"/>
          <w:sz w:val="24"/>
          <w:szCs w:val="24"/>
          <w:lang w:eastAsia="en-GB"/>
        </w:rPr>
        <w:br/>
      </w:r>
      <w:r w:rsidRPr="009C5B2F">
        <w:rPr>
          <w:rFonts w:ascii="Sylfaen" w:eastAsia="Times New Roman" w:hAnsi="Sylfaen" w:cs="Arial"/>
          <w:b/>
          <w:sz w:val="24"/>
          <w:szCs w:val="24"/>
          <w:lang w:val="en-GB" w:eastAsia="en-GB"/>
        </w:rPr>
        <w:t xml:space="preserve">4. Թիվ 12 Արձանագրություն` կապը 14-րդ հոդվածի հետ և կիրառումը </w:t>
      </w:r>
    </w:p>
    <w:p w:rsidR="009C5B2F" w:rsidRPr="009C5B2F" w:rsidRDefault="009C5B2F" w:rsidP="009C5B2F">
      <w:pPr>
        <w:spacing w:after="0"/>
        <w:rPr>
          <w:rFonts w:ascii="Sylfaen" w:eastAsia="Times New Roman" w:hAnsi="Sylfaen" w:cs="Arial"/>
          <w:b/>
          <w:i/>
          <w:sz w:val="24"/>
          <w:szCs w:val="24"/>
          <w:lang w:val="en-GB" w:eastAsia="en-GB"/>
        </w:rPr>
      </w:pPr>
    </w:p>
    <w:p w:rsidR="009C5B2F" w:rsidRPr="009C5B2F" w:rsidRDefault="009C5B2F" w:rsidP="009C5B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sz w:val="24"/>
          <w:szCs w:val="24"/>
          <w:lang w:val="en-GB" w:eastAsia="en-GB"/>
        </w:rPr>
      </w:pPr>
      <w:r w:rsidRPr="009C5B2F">
        <w:rPr>
          <w:rFonts w:ascii="Sylfaen" w:eastAsia="Times New Roman" w:hAnsi="Sylfaen" w:cs="Arial"/>
          <w:sz w:val="24"/>
          <w:szCs w:val="24"/>
          <w:lang w:val="en-GB" w:eastAsia="en-GB"/>
        </w:rPr>
        <w:t xml:space="preserve">Թիվ 12 Արձանագրությունն ուժի մեջ է մտել 2010թ. նոյեմբերին այն վավերացրած 18 երկրներում: Հայաստանի Հանրապետությունը այս արձանագրությունը վավերացրել է 2014թ. դեկտեմբերի 17-ին։ Արձանագրությունը պաշտպանությունն ավելի շուտ ընդլայնում է անդամ պետության կողմից «սահմանված ցանկացած իրավունքից օգտվելու»  վրա, քան ուղղակի Կոնվենցիայում նշված իրավունքների: Թիվ 12 Արձանագրությունը ստեղծում է ինքնուրույն իրավունք: Ի տարբերություն 14-րդ հոդվածի` այն կախված չի Կոնվենցիայի մեկ այլ իրավունքի հետ միջամտության </w:t>
      </w:r>
      <w:r w:rsidRPr="009C5B2F">
        <w:rPr>
          <w:rFonts w:ascii="Sylfaen" w:eastAsia="Times New Roman" w:hAnsi="Sylfaen" w:cs="Arial"/>
          <w:sz w:val="24"/>
          <w:szCs w:val="24"/>
          <w:lang w:val="en-GB" w:eastAsia="en-GB"/>
        </w:rPr>
        <w:lastRenderedPageBreak/>
        <w:t xml:space="preserve">հաստատումից: Երբ թիվ 12 Արձանագրության հիմնական նպատակը` խտրականության ընդհանուր արգելումը, բավականին արմատական է, դժվար է նախապես կանխատեսել, թե որքանով այդ փաստաթուղթն արդյունավետ կդառնա:  </w:t>
      </w:r>
    </w:p>
    <w:p w:rsidR="009C5B2F" w:rsidRPr="009C5B2F" w:rsidRDefault="009C5B2F" w:rsidP="009C5B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sz w:val="24"/>
          <w:szCs w:val="24"/>
          <w:lang w:val="en-GB" w:eastAsia="en-GB"/>
        </w:rPr>
      </w:pPr>
    </w:p>
    <w:p w:rsidR="009C5B2F" w:rsidRPr="009C5B2F" w:rsidRDefault="009C5B2F" w:rsidP="009C5B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Sylfaen" w:eastAsia="Times New Roman" w:hAnsi="Sylfaen" w:cs="Arial"/>
          <w:sz w:val="24"/>
          <w:szCs w:val="24"/>
          <w:lang w:val="en-GB" w:eastAsia="en-GB"/>
        </w:rPr>
      </w:pPr>
      <w:r w:rsidRPr="009C5B2F">
        <w:rPr>
          <w:rFonts w:ascii="Sylfaen" w:eastAsia="Times New Roman" w:hAnsi="Sylfaen" w:cs="Arial"/>
          <w:i/>
          <w:sz w:val="24"/>
          <w:szCs w:val="24"/>
          <w:lang w:val="en-GB" w:eastAsia="en-GB"/>
        </w:rPr>
        <w:t xml:space="preserve">Սեյդիչը և Ֆինչին ընդդեմ Բոսնիայի և Հերցոգովինայի </w:t>
      </w:r>
      <w:r w:rsidRPr="009C5B2F">
        <w:rPr>
          <w:rFonts w:ascii="Sylfaen" w:eastAsia="Times New Roman" w:hAnsi="Sylfaen" w:cs="Arial"/>
          <w:sz w:val="24"/>
          <w:szCs w:val="24"/>
          <w:lang w:val="en-GB" w:eastAsia="en-GB"/>
        </w:rPr>
        <w:t xml:space="preserve"> [</w:t>
      </w:r>
      <w:hyperlink r:id="rId17" w:history="1">
        <w:r w:rsidRPr="009C5B2F">
          <w:rPr>
            <w:rFonts w:ascii="Sylfaen" w:eastAsia="Times New Roman" w:hAnsi="Sylfaen" w:cs="Arial"/>
            <w:i/>
            <w:color w:val="0000FF"/>
            <w:sz w:val="24"/>
            <w:szCs w:val="24"/>
            <w:u w:val="single"/>
            <w:lang w:val="en-GB" w:eastAsia="en-GB"/>
          </w:rPr>
          <w:t>Sejdić and Finci v. Bosnia and Herzegovina</w:t>
        </w:r>
        <w:r w:rsidRPr="009C5B2F">
          <w:rPr>
            <w:rFonts w:ascii="Sylfaen" w:eastAsia="Times New Roman" w:hAnsi="Sylfaen" w:cs="Times New Roman"/>
            <w:color w:val="0000FF"/>
            <w:sz w:val="24"/>
            <w:szCs w:val="24"/>
            <w:u w:val="single"/>
            <w:lang w:val="en-GB" w:eastAsia="en-GB"/>
          </w:rPr>
          <w:t>]</w:t>
        </w:r>
      </w:hyperlink>
      <w:r w:rsidRPr="009C5B2F">
        <w:rPr>
          <w:rFonts w:ascii="Sylfaen" w:eastAsia="Times New Roman" w:hAnsi="Sylfaen" w:cs="Arial"/>
          <w:i/>
          <w:sz w:val="24"/>
          <w:szCs w:val="24"/>
          <w:lang w:val="en-GB" w:eastAsia="en-GB"/>
        </w:rPr>
        <w:t xml:space="preserve"> (</w:t>
      </w:r>
      <w:r w:rsidRPr="009C5B2F">
        <w:rPr>
          <w:rFonts w:ascii="Sylfaen" w:eastAsia="Times New Roman" w:hAnsi="Sylfaen" w:cs="Arial"/>
          <w:sz w:val="24"/>
          <w:szCs w:val="24"/>
          <w:lang w:val="en-GB" w:eastAsia="en-GB"/>
        </w:rPr>
        <w:t xml:space="preserve">Դիմում թիվ 27996/06 և 34836/06, 2009թ. դեկտեմբերի 22), գործում ՄԻԵԴ-ի Մեծ պալատը գտավ, որ տեղի է ունեցել միաժամանակ 14-րդ հոդվածի և թիվ 12 Արձանագրության 1-ին հոդվածի խախտում` հաշվի առնելով այն հանգամանքները, որ սահմանադրական դրույթներն երեք «բաղկացուցիչ ժողովրդներից» (բոսնիացիներ, խորվաթներ կամ սերբեր) բացի  այլ անձանց  արգելում էին  իրենց թեկնածությունները ներկայացնել  Բոսնիայի և Հերցոգովինային խորհրդարանի և նախագահության ընտրություններին: Այս միջոցը հատկապես խախտել էր հրեա և գնչու դիմումատուների իրավունքները: </w:t>
      </w:r>
    </w:p>
    <w:p w:rsidR="00DE4F67" w:rsidRPr="009C5B2F" w:rsidRDefault="000C5A7C" w:rsidP="009C5B2F">
      <w:pPr>
        <w:spacing w:after="0"/>
        <w:rPr>
          <w:lang w:val="en-GB"/>
        </w:rPr>
      </w:pPr>
    </w:p>
    <w:sectPr w:rsidR="00DE4F67" w:rsidRPr="009C5B2F" w:rsidSect="00D41A2A">
      <w:headerReference w:type="default" r:id="rId18"/>
      <w:footerReference w:type="default" r:id="rId19"/>
      <w:pgSz w:w="12240" w:h="15840"/>
      <w:pgMar w:top="1440" w:right="1440" w:bottom="1440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A7C" w:rsidRDefault="000C5A7C" w:rsidP="009C5B2F">
      <w:pPr>
        <w:spacing w:after="0" w:line="240" w:lineRule="auto"/>
      </w:pPr>
      <w:r>
        <w:separator/>
      </w:r>
    </w:p>
  </w:endnote>
  <w:endnote w:type="continuationSeparator" w:id="0">
    <w:p w:rsidR="000C5A7C" w:rsidRDefault="000C5A7C" w:rsidP="009C5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30228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351F3" w:rsidRDefault="000351F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5E8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351F3" w:rsidRDefault="000351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A7C" w:rsidRDefault="000C5A7C" w:rsidP="009C5B2F">
      <w:pPr>
        <w:spacing w:after="0" w:line="240" w:lineRule="auto"/>
      </w:pPr>
      <w:r>
        <w:separator/>
      </w:r>
    </w:p>
  </w:footnote>
  <w:footnote w:type="continuationSeparator" w:id="0">
    <w:p w:rsidR="000C5A7C" w:rsidRDefault="000C5A7C" w:rsidP="009C5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69D" w:rsidRDefault="000C5A7C" w:rsidP="00D41A2A">
    <w:pPr>
      <w:pStyle w:val="Header"/>
      <w:ind w:left="-1134"/>
    </w:pPr>
  </w:p>
  <w:p w:rsidR="0052569D" w:rsidRDefault="000C5A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FE6724"/>
    <w:multiLevelType w:val="hybridMultilevel"/>
    <w:tmpl w:val="301C00F6"/>
    <w:lvl w:ilvl="0" w:tplc="FEEAF19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2F"/>
    <w:rsid w:val="000351F3"/>
    <w:rsid w:val="000C5A7C"/>
    <w:rsid w:val="008F4770"/>
    <w:rsid w:val="00905E80"/>
    <w:rsid w:val="009C5B2F"/>
    <w:rsid w:val="00E17B27"/>
    <w:rsid w:val="00E51404"/>
    <w:rsid w:val="00E61A3D"/>
    <w:rsid w:val="00FF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64936E-F5EF-4DBE-AE8C-9D8F2BED6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5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B2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B2F"/>
    <w:rPr>
      <w:rFonts w:ascii="Tahoma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C5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B2F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hr.coe.int/Documents/FS_Hate_speech_ENG.pdf" TargetMode="External"/><Relationship Id="rId13" Type="http://schemas.openxmlformats.org/officeDocument/2006/relationships/hyperlink" Target="http://hudoc.echr.coe.int/sites/eng/pages/search.aspx?i=001-80711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coe.int/t/dghl/standardsetting/hrpolicy/other_committees/dh-lgbt_docs/CM_Rec(97)20_en.pdf" TargetMode="External"/><Relationship Id="rId12" Type="http://schemas.openxmlformats.org/officeDocument/2006/relationships/hyperlink" Target="http://hudoc.echr.coe.int/sites/eng/pages/search.aspx?i=001-69630" TargetMode="External"/><Relationship Id="rId17" Type="http://schemas.openxmlformats.org/officeDocument/2006/relationships/hyperlink" Target="http://hudoc.echr.coe.int/sites/eng/pages/search.aspx?i=001-118674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arliament.am/legislation.php?sel=show&amp;ID=1349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sce.org/odihr/36426?download=tru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osce.org/odihr" TargetMode="External"/><Relationship Id="rId10" Type="http://schemas.openxmlformats.org/officeDocument/2006/relationships/hyperlink" Target="http://www.osce.org/cio/40695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hudoc.echr.coe.int/sites/eng/pages/search.aspx?i=001-57499" TargetMode="External"/><Relationship Id="rId14" Type="http://schemas.openxmlformats.org/officeDocument/2006/relationships/hyperlink" Target="http://www.osce.org/odihr/36426?downloa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1700</Words>
  <Characters>9694</Characters>
  <Application>Microsoft Office Word</Application>
  <DocSecurity>0</DocSecurity>
  <Lines>80</Lines>
  <Paragraphs>22</Paragraphs>
  <ScaleCrop>false</ScaleCrop>
  <Company/>
  <LinksUpToDate>false</LinksUpToDate>
  <CharactersWithSpaces>11372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ARAIK</dc:creator>
  <cp:lastModifiedBy>Ara Ghazaryan</cp:lastModifiedBy>
  <cp:revision>5</cp:revision>
  <dcterms:created xsi:type="dcterms:W3CDTF">2014-04-05T15:23:00Z</dcterms:created>
  <dcterms:modified xsi:type="dcterms:W3CDTF">2019-05-15T09:23:00Z</dcterms:modified>
</cp:coreProperties>
</file>