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D3" w:rsidRPr="002543D3" w:rsidRDefault="002543D3" w:rsidP="002543D3">
      <w:pPr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32"/>
          <w:szCs w:val="32"/>
          <w:lang w:val="en-GB"/>
        </w:rPr>
      </w:pPr>
      <w:r w:rsidRPr="002543D3">
        <w:rPr>
          <w:rFonts w:ascii="Sylfaen" w:eastAsia="Times New Roman" w:hAnsi="Sylfaen" w:cs="Sylfaen"/>
          <w:b/>
          <w:bCs/>
          <w:kern w:val="28"/>
          <w:sz w:val="32"/>
          <w:szCs w:val="32"/>
          <w:lang w:val="ru-RU"/>
        </w:rPr>
        <w:t>Խնդիր</w:t>
      </w:r>
      <w:r w:rsidRPr="002543D3">
        <w:rPr>
          <w:rFonts w:ascii="Cambria" w:eastAsia="Times New Roman" w:hAnsi="Cambria" w:cs="Times New Roman"/>
          <w:b/>
          <w:bCs/>
          <w:kern w:val="28"/>
          <w:sz w:val="32"/>
          <w:szCs w:val="32"/>
          <w:lang w:val="en-GB"/>
        </w:rPr>
        <w:t xml:space="preserve"> 6</w:t>
      </w:r>
    </w:p>
    <w:p w:rsidR="002543D3" w:rsidRPr="002543D3" w:rsidRDefault="002543D3" w:rsidP="002543D3">
      <w:pPr>
        <w:spacing w:after="0"/>
        <w:ind w:left="360"/>
        <w:jc w:val="both"/>
        <w:rPr>
          <w:rFonts w:ascii="Sylfaen" w:eastAsia="Times New Roman" w:hAnsi="Sylfaen" w:cs="Times New Roman"/>
          <w:sz w:val="24"/>
          <w:szCs w:val="24"/>
          <w:lang w:val="en-GB"/>
        </w:rPr>
      </w:pPr>
    </w:p>
    <w:p w:rsidR="002543D3" w:rsidRPr="002543D3" w:rsidRDefault="002543D3" w:rsidP="002543D3">
      <w:pPr>
        <w:jc w:val="both"/>
        <w:rPr>
          <w:rFonts w:ascii="Sylfaen" w:eastAsia="Times New Roman" w:hAnsi="Sylfaen" w:cs="Times New Roman"/>
          <w:sz w:val="24"/>
          <w:szCs w:val="24"/>
        </w:rPr>
      </w:pPr>
      <w:r w:rsidRPr="002543D3">
        <w:rPr>
          <w:rFonts w:ascii="Sylfaen" w:eastAsia="Times New Roman" w:hAnsi="Sylfaen" w:cs="Times New Roman"/>
          <w:sz w:val="24"/>
          <w:szCs w:val="24"/>
          <w:lang w:val="en-GB"/>
        </w:rPr>
        <w:t xml:space="preserve">Դիմողը ուներ քաղաքական գիտությունների բակալավրի աստիճան: Նա ցանկանում էր դառնալ իրավաբան ու աշխատել որպես փաստաբան: Ուսումնական հաստատությունը ավարտելուց հետո նա ընդունվել է Հայաստանի Ամերիկյան համալսարանի (ՀԱՀ) իրավագիտության ֆակուլտետ LLM (Իրավագիտության Մագիստրոսի աստիճան) աստիճանի ծրագրով: ՀԱՀ-ի քաղաքականությունն էր համալսարանի LLM դասընթացի համար դիմումներ ընդունել քաղաքական գիտությունների բակալավրի աստիճան ունեցողներից: Այդ ծրագիրը հաստատվել էր որպես Պետական ուսումնական ծրագրի պահանջներին համապատասխանող և պետական իրավասու մարմնի կողմից համալսարանին տրվել էր դա հավաստող համապատասխան լիցենզիա: Այսպիսով, համալսարանի բակալավրի աստիճան ունեցող շրջանավարտները կարող էին Իրավագիտության Մագիստրոսի աստիճան ստանալ՝ առանց ավարտելու իրավունքի 4-ամյա ընդհանուր դասընթացները, որը որպես կանոն պահանջվում էր իրավունքի այլ սովորական դպրոցների բակալավրի ուսումնական ծրագրով: Այսպիսով, դիմողը ավարտել է ՀԱՀ-ը և ստացել Իրավագիտության մագիստրոսի աստիճան: Այնուհետև նա դիմել է փաստաբանների պալատի փաստաբանական դպրոց՝ ընդունելության քննություններին մասնակցելու և փաստաբանական գործունեություն իրականացնելու լիցենզիա ստանալու նպատակով: Դպրոցի ընդունելության հանձնաժողովը մերժել է դիմումը՝ հիմնվելով Օրենքի 17-րդ հոդվածի վրա, որ տալիս է «փաստաբան» հասկացության սահմանումը, համաձայն որի՝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>«</w:t>
      </w:r>
      <w:r w:rsidRPr="002543D3">
        <w:rPr>
          <w:rFonts w:ascii="Sylfaen" w:eastAsia="Times New Roman" w:hAnsi="Sylfaen" w:cs="Times New Roman"/>
          <w:i/>
          <w:sz w:val="24"/>
          <w:szCs w:val="24"/>
        </w:rPr>
        <w:t>փ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աստաբան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է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համարվում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այն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անձը</w:t>
      </w:r>
      <w:r w:rsidRPr="002543D3">
        <w:rPr>
          <w:rFonts w:ascii="Sylfaen" w:eastAsia="Times New Roman" w:hAnsi="Sylfaen" w:cs="Times New Roman"/>
          <w:i/>
          <w:sz w:val="24"/>
          <w:szCs w:val="24"/>
        </w:rPr>
        <w:t xml:space="preserve">, ով ունի իրավագիտության բակալավրի աստիճան կամ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բարձրագույն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իրավաբանական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կրթություն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, </w:t>
      </w:r>
      <w:r w:rsidRPr="002543D3">
        <w:rPr>
          <w:rFonts w:ascii="Sylfaen" w:eastAsia="Times New Roman" w:hAnsi="Sylfaen" w:cs="Times New Roman"/>
          <w:i/>
          <w:sz w:val="24"/>
          <w:szCs w:val="24"/>
        </w:rPr>
        <w:t xml:space="preserve">և ով ավարտել է ուսուցումը փաստաբանական դպրոցում»: </w:t>
      </w:r>
      <w:r w:rsidRPr="002543D3">
        <w:rPr>
          <w:rFonts w:ascii="Sylfaen" w:eastAsia="Times New Roman" w:hAnsi="Sylfaen" w:cs="Times New Roman"/>
          <w:sz w:val="24"/>
          <w:szCs w:val="24"/>
        </w:rPr>
        <w:t xml:space="preserve">Բոլոնյան համակարգի սկզբունքներով իրականացված կրթական բարեփոխումների արդյունքում ներմուծված «բակալավրիատ» և </w:t>
      </w:r>
      <w:r w:rsidRPr="002543D3">
        <w:rPr>
          <w:rFonts w:ascii="Sylfaen" w:eastAsia="Times New Roman" w:hAnsi="Sylfaen" w:cs="Times New Roman"/>
          <w:i/>
          <w:sz w:val="24"/>
          <w:szCs w:val="24"/>
        </w:rPr>
        <w:t>«բակալավրի աստիճան ունեցող անձ»</w:t>
      </w:r>
      <w:r w:rsidRPr="002543D3">
        <w:rPr>
          <w:rFonts w:ascii="Sylfaen" w:eastAsia="Times New Roman" w:hAnsi="Sylfaen" w:cs="Times New Roman"/>
          <w:sz w:val="24"/>
          <w:szCs w:val="24"/>
        </w:rPr>
        <w:t xml:space="preserve">  հասկացությունը նշանակում է իրավունքի ֆակուլտետի շրջանավարտ: </w:t>
      </w:r>
      <w:r w:rsidRPr="002543D3">
        <w:rPr>
          <w:rFonts w:ascii="Sylfaen" w:eastAsia="Times New Roman" w:hAnsi="Sylfaen" w:cs="Times New Roman"/>
          <w:i/>
          <w:sz w:val="24"/>
          <w:szCs w:val="24"/>
        </w:rPr>
        <w:t>«Բ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արձրագույն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իրավաբանական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en-GB"/>
        </w:rPr>
        <w:t xml:space="preserve"> </w:t>
      </w:r>
      <w:r w:rsidRPr="002543D3">
        <w:rPr>
          <w:rFonts w:ascii="Sylfaen" w:eastAsia="Times New Roman" w:hAnsi="Sylfaen" w:cs="Times New Roman"/>
          <w:i/>
          <w:sz w:val="24"/>
          <w:szCs w:val="24"/>
          <w:lang w:val="ru-RU"/>
        </w:rPr>
        <w:t>կրթություն</w:t>
      </w:r>
      <w:r w:rsidRPr="002543D3">
        <w:rPr>
          <w:rFonts w:ascii="Sylfaen" w:eastAsia="Times New Roman" w:hAnsi="Sylfaen" w:cs="Times New Roman"/>
          <w:i/>
          <w:sz w:val="24"/>
          <w:szCs w:val="24"/>
        </w:rPr>
        <w:t xml:space="preserve"> ունեցող իրավաբան» </w:t>
      </w:r>
      <w:r w:rsidRPr="002543D3">
        <w:rPr>
          <w:rFonts w:ascii="Sylfaen" w:eastAsia="Times New Roman" w:hAnsi="Sylfaen" w:cs="Times New Roman"/>
          <w:sz w:val="24"/>
          <w:szCs w:val="24"/>
        </w:rPr>
        <w:t xml:space="preserve">հասկացությունը վերաբերում է Խորհրդային ուսումնական համակարգի 5-ամյա համալսարանական ծրագրով կրթություն ստացած շրջանավարտներին: Հանձնաժողովի համաձայն՝ դիմողը օրենքի 17-րդ հոդվածում նշված ոչ մի ծրագրով չի անցել «իրավունքի ընդհանուր դասընթացներ», և ՀԱՀ-ի LLM-ի աստիճանը չի համապատասխանում օրենքի երկու պահանջներից և ոչ մեկին: Դիմողը պատասխանել է, որ Կրթության մասին օրենքի համաձայն՝ LLM-ը համարվում է բարձրագույն կրթություն, և որ </w:t>
      </w:r>
      <w:r w:rsidRPr="002543D3">
        <w:rPr>
          <w:rFonts w:ascii="Sylfaen" w:eastAsia="Times New Roman" w:hAnsi="Sylfaen" w:cs="Times New Roman"/>
          <w:sz w:val="24"/>
          <w:szCs w:val="24"/>
        </w:rPr>
        <w:lastRenderedPageBreak/>
        <w:t xml:space="preserve">համալսարանական աստիճանների դասակարգման համակարգում այն պետք է ավելի բարձր լինի, քան բակալավրի աստիճանը: </w:t>
      </w:r>
    </w:p>
    <w:p w:rsidR="002543D3" w:rsidRPr="002543D3" w:rsidRDefault="002543D3" w:rsidP="002543D3">
      <w:pPr>
        <w:jc w:val="both"/>
        <w:rPr>
          <w:rFonts w:ascii="Sylfaen" w:eastAsia="Times New Roman" w:hAnsi="Sylfaen" w:cs="Times New Roman"/>
          <w:sz w:val="24"/>
          <w:szCs w:val="24"/>
          <w:lang w:val="en-GB"/>
        </w:rPr>
      </w:pPr>
      <w:r w:rsidRPr="002543D3">
        <w:rPr>
          <w:rFonts w:ascii="Sylfaen" w:eastAsia="Times New Roman" w:hAnsi="Sylfaen" w:cs="Times New Roman"/>
          <w:sz w:val="24"/>
          <w:szCs w:val="24"/>
        </w:rPr>
        <w:t>Սպառելով եռաստիճան դատական համակարգում իր պաշտպանության բոլոր միջոցները, որտեղ նրա բոլոր դիմումները մերժվեցին՝ դիմողը դիմել է Սահմանադրական Դատարան: Դատարանի առջև նա վիճարկում է, որ ենթարկվել է խտրական վերաբերմունքի</w:t>
      </w:r>
    </w:p>
    <w:tbl>
      <w:tblPr>
        <w:tblStyle w:val="TableGrid"/>
        <w:tblW w:w="8820" w:type="dxa"/>
        <w:tblInd w:w="558" w:type="dxa"/>
        <w:tblLook w:val="04A0" w:firstRow="1" w:lastRow="0" w:firstColumn="1" w:lastColumn="0" w:noHBand="0" w:noVBand="1"/>
      </w:tblPr>
      <w:tblGrid>
        <w:gridCol w:w="8820"/>
      </w:tblGrid>
      <w:tr w:rsidR="002543D3" w:rsidRPr="00DA74D1" w:rsidTr="002747EC">
        <w:tc>
          <w:tcPr>
            <w:tcW w:w="8820" w:type="dxa"/>
            <w:shd w:val="clear" w:color="auto" w:fill="DBE5F1"/>
          </w:tcPr>
          <w:p w:rsidR="002543D3" w:rsidRPr="002543D3" w:rsidRDefault="002543D3" w:rsidP="002543D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</w:p>
          <w:p w:rsidR="002543D3" w:rsidRPr="002543D3" w:rsidRDefault="002543D3" w:rsidP="002543D3">
            <w:pPr>
              <w:numPr>
                <w:ilvl w:val="0"/>
                <w:numId w:val="1"/>
              </w:numPr>
              <w:ind w:left="43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b/>
                <w:color w:val="FF0000"/>
                <w:kern w:val="24"/>
                <w:sz w:val="24"/>
                <w:szCs w:val="24"/>
                <w:lang w:val="en-GB"/>
              </w:rPr>
              <w:t>Կարգավորող</w:t>
            </w: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  <w:lang w:val="en-GB"/>
              </w:rPr>
              <w:t xml:space="preserve"> նորմը</w:t>
            </w:r>
          </w:p>
          <w:p w:rsidR="002543D3" w:rsidRPr="002543D3" w:rsidRDefault="002543D3" w:rsidP="002543D3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ազգային նորմ</w:t>
            </w:r>
          </w:p>
          <w:p w:rsidR="002543D3" w:rsidRPr="002543D3" w:rsidRDefault="002543D3" w:rsidP="002543D3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միջազգային նորմ</w:t>
            </w:r>
          </w:p>
          <w:p w:rsidR="002543D3" w:rsidRPr="002543D3" w:rsidRDefault="002543D3" w:rsidP="002543D3">
            <w:pPr>
              <w:numPr>
                <w:ilvl w:val="0"/>
                <w:numId w:val="1"/>
              </w:numPr>
              <w:ind w:left="43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b/>
                <w:color w:val="FF0000"/>
                <w:kern w:val="24"/>
                <w:sz w:val="24"/>
                <w:szCs w:val="24"/>
                <w:lang w:val="en-GB"/>
              </w:rPr>
              <w:t>Պաշտպանված</w:t>
            </w:r>
            <w:r w:rsidRPr="002543D3">
              <w:rPr>
                <w:rFonts w:ascii="Sylfaen" w:eastAsia="Times New Roman" w:hAnsi="Sylfaen"/>
                <w:color w:val="FF0000"/>
                <w:kern w:val="24"/>
                <w:sz w:val="24"/>
                <w:szCs w:val="24"/>
                <w:lang w:val="en-GB"/>
              </w:rPr>
              <w:t xml:space="preserve"> </w:t>
            </w: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  <w:lang w:val="en-GB"/>
              </w:rPr>
              <w:t>հատկանիշը</w:t>
            </w:r>
          </w:p>
          <w:p w:rsidR="002543D3" w:rsidRPr="002543D3" w:rsidRDefault="002543D3" w:rsidP="002543D3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սեռ</w:t>
            </w:r>
          </w:p>
          <w:p w:rsidR="002543D3" w:rsidRPr="002543D3" w:rsidRDefault="002543D3" w:rsidP="002543D3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տարիք</w:t>
            </w:r>
          </w:p>
          <w:p w:rsidR="002543D3" w:rsidRPr="002543D3" w:rsidRDefault="002543D3" w:rsidP="002543D3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և այլն</w:t>
            </w:r>
          </w:p>
          <w:p w:rsidR="002543D3" w:rsidRPr="002543D3" w:rsidRDefault="002543D3" w:rsidP="002543D3">
            <w:pPr>
              <w:numPr>
                <w:ilvl w:val="0"/>
                <w:numId w:val="1"/>
              </w:numPr>
              <w:ind w:left="43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  <w:lang w:val="en-GB"/>
              </w:rPr>
              <w:t xml:space="preserve">Խտրականության </w:t>
            </w:r>
            <w:r w:rsidRPr="002543D3">
              <w:rPr>
                <w:rFonts w:ascii="Sylfaen" w:eastAsia="Times New Roman" w:hAnsi="Sylfaen"/>
                <w:b/>
                <w:color w:val="FF0000"/>
                <w:kern w:val="24"/>
                <w:sz w:val="24"/>
                <w:szCs w:val="24"/>
                <w:lang w:val="en-GB"/>
              </w:rPr>
              <w:t>տեսակը</w:t>
            </w:r>
          </w:p>
          <w:p w:rsidR="002543D3" w:rsidRPr="002543D3" w:rsidRDefault="002543D3" w:rsidP="002543D3">
            <w:pPr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ուղղակի խտրականություն</w:t>
            </w:r>
          </w:p>
          <w:p w:rsidR="002543D3" w:rsidRPr="002543D3" w:rsidRDefault="002543D3" w:rsidP="002543D3">
            <w:pPr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անուղղակի խտրականություն</w:t>
            </w:r>
          </w:p>
          <w:p w:rsidR="002543D3" w:rsidRPr="002543D3" w:rsidRDefault="002543D3" w:rsidP="002543D3">
            <w:pPr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և այլն</w:t>
            </w:r>
          </w:p>
          <w:p w:rsidR="002543D3" w:rsidRPr="002543D3" w:rsidRDefault="002543D3" w:rsidP="002543D3">
            <w:pPr>
              <w:numPr>
                <w:ilvl w:val="0"/>
                <w:numId w:val="1"/>
              </w:numPr>
              <w:ind w:left="43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b/>
                <w:color w:val="FF0000"/>
                <w:kern w:val="24"/>
                <w:sz w:val="24"/>
                <w:szCs w:val="24"/>
                <w:lang w:val="en-GB"/>
              </w:rPr>
              <w:t>Համեմատական</w:t>
            </w:r>
            <w:r w:rsidRPr="002543D3">
              <w:rPr>
                <w:rFonts w:ascii="Sylfaen" w:eastAsia="Times New Roman" w:hAnsi="Sylfaen"/>
                <w:color w:val="FF0000"/>
                <w:kern w:val="24"/>
                <w:sz w:val="24"/>
                <w:szCs w:val="24"/>
                <w:lang w:val="en-GB"/>
              </w:rPr>
              <w:t xml:space="preserve"> </w:t>
            </w: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  <w:lang w:val="en-GB"/>
              </w:rPr>
              <w:t>եզրը</w:t>
            </w:r>
          </w:p>
          <w:p w:rsidR="002543D3" w:rsidRPr="002543D3" w:rsidRDefault="002543D3" w:rsidP="002543D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տարբերակված վերաբերմունք</w:t>
            </w:r>
          </w:p>
          <w:p w:rsidR="002543D3" w:rsidRPr="002543D3" w:rsidRDefault="002543D3" w:rsidP="002543D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էապես նույնանման իրավիճակ</w:t>
            </w:r>
          </w:p>
          <w:p w:rsidR="002543D3" w:rsidRPr="002543D3" w:rsidRDefault="002543D3" w:rsidP="002543D3">
            <w:pPr>
              <w:numPr>
                <w:ilvl w:val="0"/>
                <w:numId w:val="1"/>
              </w:numPr>
              <w:ind w:left="43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b/>
                <w:color w:val="FF0000"/>
                <w:kern w:val="24"/>
                <w:sz w:val="24"/>
                <w:szCs w:val="24"/>
                <w:lang w:val="en-GB"/>
              </w:rPr>
              <w:t>Բացառության</w:t>
            </w:r>
            <w:r w:rsidRPr="002543D3">
              <w:rPr>
                <w:rFonts w:ascii="Sylfaen" w:eastAsia="Times New Roman" w:hAnsi="Sylfaen"/>
                <w:color w:val="FF0000"/>
                <w:kern w:val="24"/>
                <w:sz w:val="24"/>
                <w:szCs w:val="24"/>
                <w:lang w:val="en-GB"/>
              </w:rPr>
              <w:t xml:space="preserve"> </w:t>
            </w: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  <w:lang w:val="en-GB"/>
              </w:rPr>
              <w:t>առկայությունը</w:t>
            </w:r>
          </w:p>
          <w:p w:rsidR="002543D3" w:rsidRPr="002543D3" w:rsidRDefault="002543D3" w:rsidP="002543D3">
            <w:pPr>
              <w:numPr>
                <w:ilvl w:val="0"/>
                <w:numId w:val="9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Կառուցողական գործողու</w:t>
            </w:r>
            <w:bookmarkStart w:id="0" w:name="_GoBack"/>
            <w:bookmarkEnd w:id="0"/>
            <w:r w:rsidRPr="002543D3">
              <w:rPr>
                <w:rFonts w:ascii="Sylfaen" w:eastAsia="Times New Roman" w:hAnsi="Sylfaen"/>
                <w:sz w:val="24"/>
                <w:szCs w:val="24"/>
              </w:rPr>
              <w:t>թյուն</w:t>
            </w:r>
          </w:p>
          <w:p w:rsidR="002543D3" w:rsidRPr="002543D3" w:rsidRDefault="002543D3" w:rsidP="002543D3">
            <w:pPr>
              <w:numPr>
                <w:ilvl w:val="0"/>
                <w:numId w:val="9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Աշխատանքին ներհատուկ պահանջ</w:t>
            </w:r>
          </w:p>
          <w:p w:rsidR="002543D3" w:rsidRPr="002543D3" w:rsidRDefault="00DA74D1" w:rsidP="002543D3">
            <w:pPr>
              <w:numPr>
                <w:ilvl w:val="0"/>
                <w:numId w:val="9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Sylfaen" w:eastAsia="Times New Roman" w:hAnsi="Sylfaen"/>
                <w:sz w:val="24"/>
                <w:szCs w:val="24"/>
                <w:lang w:val="en-US"/>
              </w:rPr>
              <w:t>Ողջամիտ հարմարեցում</w:t>
            </w:r>
          </w:p>
          <w:p w:rsidR="002543D3" w:rsidRPr="002543D3" w:rsidRDefault="002543D3" w:rsidP="002543D3">
            <w:pPr>
              <w:numPr>
                <w:ilvl w:val="0"/>
                <w:numId w:val="1"/>
              </w:numPr>
              <w:ind w:left="43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b/>
                <w:color w:val="FF0000"/>
                <w:sz w:val="24"/>
                <w:szCs w:val="24"/>
              </w:rPr>
              <w:t xml:space="preserve">Օրինականության </w:t>
            </w:r>
            <w:r w:rsidRPr="002543D3">
              <w:rPr>
                <w:rFonts w:ascii="Sylfaen" w:eastAsia="Times New Roman" w:hAnsi="Sylfaen"/>
                <w:sz w:val="24"/>
                <w:szCs w:val="24"/>
              </w:rPr>
              <w:t>սկզբունքը</w:t>
            </w:r>
          </w:p>
          <w:p w:rsidR="002543D3" w:rsidRPr="002543D3" w:rsidRDefault="002543D3" w:rsidP="002543D3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Օրենքով սահմանված կարգով</w:t>
            </w:r>
          </w:p>
          <w:p w:rsidR="002543D3" w:rsidRPr="002543D3" w:rsidRDefault="002543D3" w:rsidP="002543D3">
            <w:pPr>
              <w:numPr>
                <w:ilvl w:val="0"/>
                <w:numId w:val="10"/>
              </w:num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Օրենքի որոշակիություն և մատչելիություն</w:t>
            </w:r>
          </w:p>
          <w:p w:rsidR="002543D3" w:rsidRPr="002543D3" w:rsidRDefault="002543D3" w:rsidP="002543D3">
            <w:pPr>
              <w:numPr>
                <w:ilvl w:val="0"/>
                <w:numId w:val="1"/>
              </w:numPr>
              <w:ind w:left="43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 xml:space="preserve">Նպատակի </w:t>
            </w:r>
            <w:r w:rsidRPr="002543D3">
              <w:rPr>
                <w:rFonts w:ascii="Sylfaen" w:eastAsia="Times New Roman" w:hAnsi="Sylfaen"/>
                <w:b/>
                <w:color w:val="FF0000"/>
                <w:sz w:val="24"/>
                <w:szCs w:val="24"/>
              </w:rPr>
              <w:t>լեգիտիմությունը</w:t>
            </w:r>
            <w:r w:rsidRPr="002543D3">
              <w:rPr>
                <w:rFonts w:ascii="Sylfaen" w:eastAsia="Times New Roman" w:hAnsi="Sylfaen"/>
                <w:color w:val="FF0000"/>
                <w:sz w:val="24"/>
                <w:szCs w:val="24"/>
              </w:rPr>
              <w:t xml:space="preserve"> </w:t>
            </w:r>
          </w:p>
          <w:p w:rsidR="002543D3" w:rsidRPr="002543D3" w:rsidRDefault="002543D3" w:rsidP="002543D3">
            <w:pPr>
              <w:numPr>
                <w:ilvl w:val="0"/>
                <w:numId w:val="4"/>
              </w:numPr>
              <w:ind w:left="88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sz w:val="24"/>
                <w:szCs w:val="24"/>
              </w:rPr>
              <w:t>օբյեկտիվ հիմքի առկայություն</w:t>
            </w:r>
          </w:p>
          <w:p w:rsidR="002543D3" w:rsidRPr="002543D3" w:rsidRDefault="002543D3" w:rsidP="002543D3">
            <w:pPr>
              <w:numPr>
                <w:ilvl w:val="0"/>
                <w:numId w:val="1"/>
              </w:numPr>
              <w:ind w:left="432" w:hanging="27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b/>
                <w:color w:val="FF0000"/>
                <w:sz w:val="24"/>
                <w:szCs w:val="24"/>
              </w:rPr>
              <w:t>Անհրաժեշտ</w:t>
            </w:r>
            <w:r w:rsidRPr="002543D3">
              <w:rPr>
                <w:rFonts w:ascii="Sylfaen" w:eastAsia="Times New Roman" w:hAnsi="Sylfaen"/>
                <w:color w:val="FF0000"/>
                <w:sz w:val="24"/>
                <w:szCs w:val="24"/>
              </w:rPr>
              <w:t xml:space="preserve"> </w:t>
            </w:r>
            <w:r w:rsidRPr="002543D3">
              <w:rPr>
                <w:rFonts w:ascii="Sylfaen" w:eastAsia="Times New Roman" w:hAnsi="Sylfaen"/>
                <w:sz w:val="24"/>
                <w:szCs w:val="24"/>
              </w:rPr>
              <w:t>է ժողովրդավարական հասարակարգում</w:t>
            </w:r>
          </w:p>
          <w:p w:rsidR="002543D3" w:rsidRPr="002543D3" w:rsidRDefault="002543D3" w:rsidP="002543D3">
            <w:pPr>
              <w:numPr>
                <w:ilvl w:val="0"/>
                <w:numId w:val="2"/>
              </w:numPr>
              <w:ind w:left="882" w:hanging="27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</w:rPr>
              <w:t>հ</w:t>
            </w: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  <w:lang w:val="en-GB"/>
              </w:rPr>
              <w:t>ամաչափ միջոցներ</w:t>
            </w:r>
          </w:p>
          <w:p w:rsidR="002543D3" w:rsidRPr="002543D3" w:rsidRDefault="002543D3" w:rsidP="002543D3">
            <w:pPr>
              <w:numPr>
                <w:ilvl w:val="0"/>
                <w:numId w:val="2"/>
              </w:numPr>
              <w:ind w:left="882" w:hanging="27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</w:rPr>
              <w:t>անհրաժեշտ ու պիտանի միջոցներ</w:t>
            </w:r>
          </w:p>
          <w:p w:rsidR="002543D3" w:rsidRPr="002543D3" w:rsidRDefault="002543D3" w:rsidP="002543D3">
            <w:pPr>
              <w:numPr>
                <w:ilvl w:val="0"/>
                <w:numId w:val="2"/>
              </w:numPr>
              <w:ind w:left="882" w:hanging="27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</w:rPr>
              <w:t>վ</w:t>
            </w:r>
            <w:r w:rsidRPr="002543D3">
              <w:rPr>
                <w:rFonts w:ascii="Sylfaen" w:eastAsia="Times New Roman" w:hAnsi="Sylfaen"/>
                <w:color w:val="000000"/>
                <w:kern w:val="24"/>
                <w:sz w:val="24"/>
                <w:szCs w:val="24"/>
                <w:lang w:val="en-GB"/>
              </w:rPr>
              <w:t xml:space="preserve">երաբերելի ու բավարար միջոցներ </w:t>
            </w:r>
          </w:p>
          <w:p w:rsidR="002543D3" w:rsidRPr="002543D3" w:rsidRDefault="002543D3" w:rsidP="002543D3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543D3">
              <w:rPr>
                <w:rFonts w:ascii="Sylfaen" w:eastAsia="Times New Roman" w:hAnsi="Sylfaen" w:cs="Sylfaen"/>
                <w:color w:val="000000"/>
                <w:kern w:val="24"/>
                <w:sz w:val="24"/>
                <w:szCs w:val="24"/>
              </w:rPr>
              <w:t>ռացիոնալ</w:t>
            </w:r>
            <w:r w:rsidRPr="002543D3">
              <w:rPr>
                <w:rFonts w:eastAsia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2543D3">
              <w:rPr>
                <w:rFonts w:ascii="Sylfaen" w:eastAsia="Times New Roman" w:hAnsi="Sylfaen" w:cs="Sylfaen"/>
                <w:color w:val="000000"/>
                <w:kern w:val="24"/>
                <w:sz w:val="24"/>
                <w:szCs w:val="24"/>
              </w:rPr>
              <w:t>կապ</w:t>
            </w:r>
            <w:r w:rsidRPr="002543D3">
              <w:rPr>
                <w:rFonts w:eastAsia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2543D3">
              <w:rPr>
                <w:rFonts w:ascii="Sylfaen" w:eastAsia="Times New Roman" w:hAnsi="Sylfaen" w:cs="Sylfaen"/>
                <w:color w:val="000000"/>
                <w:kern w:val="24"/>
                <w:sz w:val="24"/>
                <w:szCs w:val="24"/>
              </w:rPr>
              <w:t>նպատակի</w:t>
            </w:r>
            <w:r w:rsidRPr="002543D3">
              <w:rPr>
                <w:rFonts w:eastAsia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2543D3">
              <w:rPr>
                <w:rFonts w:ascii="Sylfaen" w:eastAsia="Times New Roman" w:hAnsi="Sylfaen" w:cs="Sylfaen"/>
                <w:color w:val="000000"/>
                <w:kern w:val="24"/>
                <w:sz w:val="24"/>
                <w:szCs w:val="24"/>
              </w:rPr>
              <w:t>ու</w:t>
            </w:r>
            <w:r w:rsidRPr="002543D3">
              <w:rPr>
                <w:rFonts w:eastAsia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2543D3">
              <w:rPr>
                <w:rFonts w:ascii="Sylfaen" w:eastAsia="Times New Roman" w:hAnsi="Sylfaen" w:cs="Sylfaen"/>
                <w:color w:val="000000"/>
                <w:kern w:val="24"/>
                <w:sz w:val="24"/>
                <w:szCs w:val="24"/>
              </w:rPr>
              <w:t>միջոցի</w:t>
            </w:r>
            <w:r w:rsidRPr="002543D3">
              <w:rPr>
                <w:rFonts w:eastAsia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2543D3">
              <w:rPr>
                <w:rFonts w:ascii="Sylfaen" w:eastAsia="Times New Roman" w:hAnsi="Sylfaen" w:cs="Sylfaen"/>
                <w:color w:val="000000"/>
                <w:kern w:val="24"/>
                <w:sz w:val="24"/>
                <w:szCs w:val="24"/>
              </w:rPr>
              <w:t>միջև</w:t>
            </w:r>
          </w:p>
          <w:p w:rsidR="002543D3" w:rsidRPr="002543D3" w:rsidRDefault="002543D3" w:rsidP="002543D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543D3" w:rsidRPr="002543D3" w:rsidRDefault="002543D3" w:rsidP="002543D3">
      <w:pPr>
        <w:ind w:firstLine="709"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</w:p>
    <w:p w:rsidR="002543D3" w:rsidRPr="002543D3" w:rsidRDefault="002543D3" w:rsidP="002543D3">
      <w:pPr>
        <w:ind w:firstLine="709"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</w:p>
    <w:p w:rsidR="0035152E" w:rsidRPr="002543D3" w:rsidRDefault="0035152E">
      <w:pPr>
        <w:rPr>
          <w:lang w:val="ru-RU"/>
        </w:rPr>
      </w:pPr>
    </w:p>
    <w:sectPr w:rsidR="0035152E" w:rsidRPr="00254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05C0D"/>
    <w:multiLevelType w:val="hybridMultilevel"/>
    <w:tmpl w:val="57B675E2"/>
    <w:lvl w:ilvl="0" w:tplc="CE88D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629A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F80E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42D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4E09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0EAE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144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CE31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C6E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04DE6"/>
    <w:multiLevelType w:val="hybridMultilevel"/>
    <w:tmpl w:val="8DE4F45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>
    <w:nsid w:val="2ABD419E"/>
    <w:multiLevelType w:val="hybridMultilevel"/>
    <w:tmpl w:val="160290FC"/>
    <w:lvl w:ilvl="0" w:tplc="04190003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3">
    <w:nsid w:val="31DA26D8"/>
    <w:multiLevelType w:val="hybridMultilevel"/>
    <w:tmpl w:val="ABA2FDD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>
    <w:nsid w:val="4E18468D"/>
    <w:multiLevelType w:val="hybridMultilevel"/>
    <w:tmpl w:val="A6161FF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>
    <w:nsid w:val="5DD04B1D"/>
    <w:multiLevelType w:val="hybridMultilevel"/>
    <w:tmpl w:val="C0900C8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>
    <w:nsid w:val="66F50860"/>
    <w:multiLevelType w:val="hybridMultilevel"/>
    <w:tmpl w:val="0534D99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>
    <w:nsid w:val="6866675A"/>
    <w:multiLevelType w:val="hybridMultilevel"/>
    <w:tmpl w:val="5C9411AC"/>
    <w:lvl w:ilvl="0" w:tplc="737013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18E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C224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AEA6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28D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5A7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E22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2CEB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C21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C80000D"/>
    <w:multiLevelType w:val="hybridMultilevel"/>
    <w:tmpl w:val="5912791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>
    <w:nsid w:val="7EAE386D"/>
    <w:multiLevelType w:val="hybridMultilevel"/>
    <w:tmpl w:val="E98E967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D3"/>
    <w:rsid w:val="002543D3"/>
    <w:rsid w:val="0035152E"/>
    <w:rsid w:val="00DA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3D3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7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4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3D3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7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4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2016-02-23T13:55:00Z</cp:lastPrinted>
  <dcterms:created xsi:type="dcterms:W3CDTF">2016-02-23T13:34:00Z</dcterms:created>
  <dcterms:modified xsi:type="dcterms:W3CDTF">2016-02-23T13:57:00Z</dcterms:modified>
</cp:coreProperties>
</file>